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D77F16">
              <w:t>3</w:t>
            </w:r>
            <w:r w:rsidR="00797060">
              <w:t>-р</w:t>
            </w:r>
          </w:p>
        </w:tc>
      </w:tr>
    </w:tbl>
    <w:p w:rsidR="00A826DF" w:rsidRPr="00D303B2"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D77F16" w:rsidRPr="00704C84" w:rsidTr="00570438">
        <w:trPr>
          <w:trHeight w:val="1106"/>
        </w:trPr>
        <w:tc>
          <w:tcPr>
            <w:tcW w:w="9747" w:type="dxa"/>
            <w:tcBorders>
              <w:top w:val="nil"/>
              <w:left w:val="nil"/>
              <w:bottom w:val="nil"/>
              <w:right w:val="nil"/>
            </w:tcBorders>
          </w:tcPr>
          <w:p w:rsidR="00D77F16" w:rsidRPr="00704C84" w:rsidRDefault="00D77F16" w:rsidP="00D77F16">
            <w:pPr>
              <w:widowControl w:val="0"/>
              <w:tabs>
                <w:tab w:val="center" w:pos="4677"/>
                <w:tab w:val="right" w:pos="9355"/>
              </w:tabs>
              <w:autoSpaceDE w:val="0"/>
              <w:autoSpaceDN w:val="0"/>
              <w:adjustRightInd w:val="0"/>
              <w:ind w:right="4428"/>
              <w:jc w:val="both"/>
              <w:outlineLvl w:val="1"/>
              <w:rPr>
                <w:sz w:val="26"/>
                <w:szCs w:val="26"/>
              </w:rPr>
            </w:pPr>
            <w:r w:rsidRPr="00A91A56">
              <w:rPr>
                <w:sz w:val="26"/>
                <w:szCs w:val="26"/>
              </w:rPr>
              <w:t>Об утверждении плана реализации  муниципальной программы муниципального образования "Городской округ "Город Нарьян-Мар"</w:t>
            </w:r>
            <w:r>
              <w:rPr>
                <w:sz w:val="26"/>
                <w:szCs w:val="26"/>
              </w:rPr>
              <w:t xml:space="preserve"> </w:t>
            </w:r>
            <w:r w:rsidRPr="00091003">
              <w:rPr>
                <w:sz w:val="26"/>
                <w:szCs w:val="22"/>
              </w:rPr>
              <w:t>"</w:t>
            </w:r>
            <w:r w:rsidRPr="00FF2CB7">
              <w:rPr>
                <w:sz w:val="26"/>
                <w:szCs w:val="26"/>
              </w:rPr>
              <w:t xml:space="preserve">Формирование комфортной городской среды </w:t>
            </w:r>
            <w:r w:rsidRPr="002E48C4">
              <w:rPr>
                <w:sz w:val="26"/>
                <w:szCs w:val="26"/>
              </w:rPr>
              <w:t>в муниципальном образовании "Городской округ "Город Нарьян-Мар</w:t>
            </w:r>
            <w:r w:rsidRPr="00091003">
              <w:rPr>
                <w:sz w:val="26"/>
                <w:szCs w:val="22"/>
              </w:rPr>
              <w:t>"</w:t>
            </w:r>
            <w:r>
              <w:rPr>
                <w:sz w:val="26"/>
                <w:szCs w:val="22"/>
              </w:rPr>
              <w:t xml:space="preserve"> на 2020 год</w:t>
            </w:r>
          </w:p>
        </w:tc>
      </w:tr>
    </w:tbl>
    <w:p w:rsidR="00D77F16" w:rsidRPr="00704C84" w:rsidRDefault="00D77F16" w:rsidP="00D77F16">
      <w:pPr>
        <w:tabs>
          <w:tab w:val="left" w:pos="720"/>
        </w:tabs>
        <w:ind w:firstLine="709"/>
        <w:jc w:val="both"/>
        <w:rPr>
          <w:sz w:val="26"/>
          <w:szCs w:val="26"/>
        </w:rPr>
      </w:pPr>
    </w:p>
    <w:p w:rsidR="00D77F16" w:rsidRPr="00704C84" w:rsidRDefault="00D77F16" w:rsidP="00D77F16">
      <w:pPr>
        <w:tabs>
          <w:tab w:val="left" w:pos="720"/>
        </w:tabs>
        <w:ind w:firstLine="709"/>
        <w:jc w:val="both"/>
        <w:rPr>
          <w:sz w:val="26"/>
          <w:szCs w:val="26"/>
        </w:rPr>
      </w:pPr>
    </w:p>
    <w:p w:rsidR="00D77F16" w:rsidRPr="00704C84" w:rsidRDefault="00D77F16" w:rsidP="00D77F16">
      <w:pPr>
        <w:tabs>
          <w:tab w:val="left" w:pos="720"/>
        </w:tabs>
        <w:ind w:firstLine="709"/>
        <w:jc w:val="both"/>
        <w:rPr>
          <w:sz w:val="26"/>
          <w:szCs w:val="26"/>
        </w:rPr>
      </w:pPr>
    </w:p>
    <w:p w:rsidR="00D77F16" w:rsidRPr="00D77F16" w:rsidRDefault="00D77F16" w:rsidP="00D77F16">
      <w:pPr>
        <w:autoSpaceDE w:val="0"/>
        <w:autoSpaceDN w:val="0"/>
        <w:adjustRightInd w:val="0"/>
        <w:ind w:firstLine="709"/>
        <w:jc w:val="both"/>
        <w:outlineLvl w:val="0"/>
        <w:rPr>
          <w:sz w:val="26"/>
          <w:szCs w:val="26"/>
        </w:rPr>
      </w:pPr>
      <w:proofErr w:type="gramStart"/>
      <w:r w:rsidRPr="00D77F16">
        <w:rPr>
          <w:sz w:val="26"/>
          <w:szCs w:val="26"/>
        </w:rPr>
        <w:t xml:space="preserve">В соответствии с </w:t>
      </w:r>
      <w:hyperlink r:id="rId9" w:history="1">
        <w:r w:rsidRPr="00D77F16">
          <w:rPr>
            <w:sz w:val="26"/>
            <w:szCs w:val="26"/>
          </w:rPr>
          <w:t>решением</w:t>
        </w:r>
      </w:hyperlink>
      <w:r w:rsidRPr="00D77F16">
        <w:rPr>
          <w:sz w:val="26"/>
          <w:szCs w:val="26"/>
        </w:rPr>
        <w:t xml:space="preserve"> Совета городского округа "Город Нарьян-Мар" </w:t>
      </w:r>
      <w:r>
        <w:rPr>
          <w:sz w:val="26"/>
          <w:szCs w:val="26"/>
        </w:rPr>
        <w:br/>
      </w:r>
      <w:r w:rsidRPr="00D77F16">
        <w:rPr>
          <w:sz w:val="26"/>
          <w:szCs w:val="26"/>
        </w:rPr>
        <w:t xml:space="preserve">от 28.11.2019 </w:t>
      </w:r>
      <w:r>
        <w:rPr>
          <w:sz w:val="26"/>
          <w:szCs w:val="26"/>
        </w:rPr>
        <w:t>№</w:t>
      </w:r>
      <w:r w:rsidRPr="00D77F16">
        <w:rPr>
          <w:sz w:val="26"/>
          <w:szCs w:val="26"/>
        </w:rPr>
        <w:t xml:space="preserve"> 25-р "О внесении изменений в решение "О бюджете МО "Городской округ "Город Нарьян-Мар" на 2019 год и на плановый период 2020 и 2021 годов", постановлением Администрации МО "Городской округ "Город Нарьян-Мар"</w:t>
      </w:r>
      <w:r w:rsidRPr="00D77F16">
        <w:rPr>
          <w:color w:val="FF0000"/>
          <w:sz w:val="26"/>
          <w:szCs w:val="26"/>
        </w:rPr>
        <w:t xml:space="preserve"> </w:t>
      </w:r>
      <w:r>
        <w:rPr>
          <w:color w:val="FF0000"/>
          <w:sz w:val="26"/>
          <w:szCs w:val="26"/>
        </w:rPr>
        <w:br/>
      </w:r>
      <w:r w:rsidRPr="00D77F16">
        <w:rPr>
          <w:sz w:val="26"/>
          <w:szCs w:val="26"/>
        </w:rPr>
        <w:t>от 10.07.2018 № 453 "Об утверждении Порядка разработки, реализации и оценки эффективности муниципальных программ муниципального образования "Городской округ "Город</w:t>
      </w:r>
      <w:proofErr w:type="gramEnd"/>
      <w:r w:rsidRPr="00D77F16">
        <w:rPr>
          <w:sz w:val="26"/>
          <w:szCs w:val="26"/>
        </w:rPr>
        <w:t xml:space="preserve"> Нарьян-Мар", на основании постановления Администрации МО "Городской округ "Город Нарьян-Мар" от 31.08.2018 № 586 "</w:t>
      </w:r>
      <w:r w:rsidRPr="00D77F16">
        <w:rPr>
          <w:color w:val="000000"/>
          <w:sz w:val="26"/>
          <w:szCs w:val="26"/>
        </w:rPr>
        <w:t xml:space="preserve">Об утверждении </w:t>
      </w:r>
      <w:r w:rsidRPr="00D77F16">
        <w:rPr>
          <w:sz w:val="26"/>
          <w:szCs w:val="26"/>
        </w:rPr>
        <w:t>муниципальной программы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p w:rsidR="00D77F16" w:rsidRPr="00D77F16" w:rsidRDefault="00D77F16" w:rsidP="00D77F16">
      <w:pPr>
        <w:tabs>
          <w:tab w:val="left" w:pos="3075"/>
        </w:tabs>
        <w:ind w:firstLine="709"/>
        <w:jc w:val="both"/>
        <w:rPr>
          <w:sz w:val="26"/>
          <w:szCs w:val="26"/>
        </w:rPr>
      </w:pPr>
    </w:p>
    <w:p w:rsidR="00D77F16" w:rsidRPr="00D77F16" w:rsidRDefault="00D77F16" w:rsidP="00D77F16">
      <w:pPr>
        <w:numPr>
          <w:ilvl w:val="0"/>
          <w:numId w:val="4"/>
        </w:numPr>
        <w:tabs>
          <w:tab w:val="left" w:pos="0"/>
          <w:tab w:val="left" w:pos="1080"/>
          <w:tab w:val="num" w:pos="2880"/>
        </w:tabs>
        <w:ind w:left="0" w:firstLine="709"/>
        <w:jc w:val="both"/>
        <w:rPr>
          <w:sz w:val="26"/>
          <w:szCs w:val="26"/>
        </w:rPr>
      </w:pPr>
      <w:r w:rsidRPr="00D77F16">
        <w:rPr>
          <w:sz w:val="26"/>
          <w:szCs w:val="26"/>
        </w:rPr>
        <w:t xml:space="preserve">Утвердить план реализации муниципальной программы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w:t>
      </w:r>
      <w:r>
        <w:rPr>
          <w:sz w:val="26"/>
          <w:szCs w:val="26"/>
        </w:rPr>
        <w:br/>
      </w:r>
      <w:r w:rsidRPr="00D77F16">
        <w:rPr>
          <w:sz w:val="26"/>
          <w:szCs w:val="26"/>
        </w:rPr>
        <w:t xml:space="preserve">Нарьян-Мар" на 2020 год </w:t>
      </w:r>
      <w:bookmarkStart w:id="1" w:name="_GoBack"/>
      <w:bookmarkEnd w:id="1"/>
      <w:r w:rsidRPr="00D77F16">
        <w:rPr>
          <w:sz w:val="26"/>
          <w:szCs w:val="26"/>
        </w:rPr>
        <w:t xml:space="preserve"> (Приложение).</w:t>
      </w:r>
    </w:p>
    <w:p w:rsidR="00D77F16" w:rsidRPr="00D77F16" w:rsidRDefault="00D77F16" w:rsidP="00D77F16">
      <w:pPr>
        <w:numPr>
          <w:ilvl w:val="0"/>
          <w:numId w:val="4"/>
        </w:numPr>
        <w:tabs>
          <w:tab w:val="left" w:pos="0"/>
          <w:tab w:val="left" w:pos="1080"/>
          <w:tab w:val="num" w:pos="2880"/>
        </w:tabs>
        <w:ind w:left="0" w:firstLine="709"/>
        <w:jc w:val="both"/>
        <w:rPr>
          <w:sz w:val="26"/>
          <w:szCs w:val="26"/>
        </w:rPr>
      </w:pPr>
      <w:r w:rsidRPr="00D77F16">
        <w:rPr>
          <w:sz w:val="26"/>
          <w:szCs w:val="26"/>
        </w:rPr>
        <w:t>Настоящее распоряжение вступает в силу со дня его подписания.</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pPr>
    </w:p>
    <w:p w:rsidR="00D77F16" w:rsidRDefault="00D77F16" w:rsidP="005416E3">
      <w:pPr>
        <w:jc w:val="both"/>
        <w:rPr>
          <w:sz w:val="26"/>
          <w:szCs w:val="26"/>
        </w:rPr>
        <w:sectPr w:rsidR="00D77F16" w:rsidSect="0035678E">
          <w:headerReference w:type="default" r:id="rId10"/>
          <w:pgSz w:w="11906" w:h="16838"/>
          <w:pgMar w:top="1134" w:right="567" w:bottom="1134" w:left="1701" w:header="709" w:footer="709" w:gutter="0"/>
          <w:pgNumType w:start="1"/>
          <w:cols w:space="708"/>
          <w:titlePg/>
          <w:docGrid w:linePitch="360"/>
        </w:sectPr>
      </w:pPr>
    </w:p>
    <w:p w:rsidR="00D77F16" w:rsidRPr="00D77F16" w:rsidRDefault="00D77F16" w:rsidP="00D77F16">
      <w:pPr>
        <w:ind w:left="9781"/>
        <w:rPr>
          <w:sz w:val="26"/>
          <w:szCs w:val="26"/>
        </w:rPr>
      </w:pPr>
      <w:r w:rsidRPr="00D77F16">
        <w:rPr>
          <w:sz w:val="26"/>
          <w:szCs w:val="26"/>
        </w:rPr>
        <w:t>Приложение</w:t>
      </w:r>
    </w:p>
    <w:p w:rsidR="00D77F16" w:rsidRDefault="00D77F16" w:rsidP="00D77F16">
      <w:pPr>
        <w:ind w:left="9781"/>
        <w:rPr>
          <w:sz w:val="26"/>
          <w:szCs w:val="26"/>
        </w:rPr>
      </w:pPr>
      <w:r w:rsidRPr="00D77F16">
        <w:rPr>
          <w:sz w:val="26"/>
          <w:szCs w:val="26"/>
        </w:rPr>
        <w:t>к распоряжению Администрации</w:t>
      </w:r>
    </w:p>
    <w:p w:rsidR="00D77F16" w:rsidRPr="00D77F16" w:rsidRDefault="00D77F16" w:rsidP="00D77F16">
      <w:pPr>
        <w:ind w:left="9781"/>
        <w:rPr>
          <w:sz w:val="26"/>
          <w:szCs w:val="26"/>
        </w:rPr>
      </w:pPr>
      <w:r>
        <w:rPr>
          <w:sz w:val="26"/>
          <w:szCs w:val="26"/>
        </w:rPr>
        <w:t>муниципального образования</w:t>
      </w:r>
    </w:p>
    <w:p w:rsidR="00D77F16" w:rsidRPr="00D77F16" w:rsidRDefault="00D77F16" w:rsidP="00D77F16">
      <w:pPr>
        <w:ind w:left="9781"/>
        <w:rPr>
          <w:sz w:val="26"/>
          <w:szCs w:val="26"/>
        </w:rPr>
      </w:pPr>
      <w:r w:rsidRPr="00D77F16">
        <w:rPr>
          <w:sz w:val="26"/>
          <w:szCs w:val="26"/>
        </w:rPr>
        <w:t>"Городской округ "Город Нарьян-Мар"</w:t>
      </w:r>
    </w:p>
    <w:p w:rsidR="00D77F16" w:rsidRPr="00D77F16" w:rsidRDefault="00D77F16" w:rsidP="00D77F16">
      <w:pPr>
        <w:ind w:left="9781"/>
        <w:rPr>
          <w:sz w:val="26"/>
          <w:szCs w:val="26"/>
        </w:rPr>
      </w:pPr>
      <w:r w:rsidRPr="00D77F16">
        <w:rPr>
          <w:sz w:val="26"/>
          <w:szCs w:val="26"/>
        </w:rPr>
        <w:t xml:space="preserve">от </w:t>
      </w:r>
      <w:r>
        <w:rPr>
          <w:sz w:val="26"/>
          <w:szCs w:val="26"/>
        </w:rPr>
        <w:t>30.12.2019</w:t>
      </w:r>
      <w:r w:rsidRPr="00D77F16">
        <w:rPr>
          <w:sz w:val="26"/>
          <w:szCs w:val="26"/>
        </w:rPr>
        <w:t xml:space="preserve"> № </w:t>
      </w:r>
      <w:r>
        <w:rPr>
          <w:sz w:val="26"/>
          <w:szCs w:val="26"/>
        </w:rPr>
        <w:t>1013</w:t>
      </w:r>
      <w:r w:rsidRPr="00D77F16">
        <w:rPr>
          <w:sz w:val="26"/>
          <w:szCs w:val="26"/>
        </w:rPr>
        <w:t>-р</w:t>
      </w:r>
    </w:p>
    <w:p w:rsidR="00D77F16" w:rsidRPr="00D77F16" w:rsidRDefault="00D77F16" w:rsidP="00D77F16">
      <w:pPr>
        <w:ind w:left="10206"/>
        <w:rPr>
          <w:sz w:val="26"/>
          <w:szCs w:val="26"/>
        </w:rPr>
      </w:pPr>
    </w:p>
    <w:p w:rsidR="00D77F16" w:rsidRPr="00D77F16" w:rsidRDefault="00D77F16" w:rsidP="00D77F16">
      <w:pPr>
        <w:autoSpaceDE w:val="0"/>
        <w:autoSpaceDN w:val="0"/>
        <w:adjustRightInd w:val="0"/>
        <w:ind w:right="-173"/>
        <w:jc w:val="right"/>
        <w:outlineLvl w:val="0"/>
        <w:rPr>
          <w:rFonts w:eastAsiaTheme="minorHAnsi"/>
          <w:kern w:val="32"/>
          <w:sz w:val="26"/>
          <w:szCs w:val="26"/>
          <w:lang w:eastAsia="en-US"/>
        </w:rPr>
      </w:pPr>
    </w:p>
    <w:p w:rsidR="00D77F16" w:rsidRPr="00D77F16" w:rsidRDefault="00D77F16" w:rsidP="00D77F16">
      <w:pPr>
        <w:autoSpaceDE w:val="0"/>
        <w:autoSpaceDN w:val="0"/>
        <w:adjustRightInd w:val="0"/>
        <w:jc w:val="center"/>
        <w:outlineLvl w:val="0"/>
        <w:rPr>
          <w:rFonts w:eastAsiaTheme="minorHAnsi"/>
          <w:kern w:val="32"/>
          <w:sz w:val="26"/>
          <w:szCs w:val="26"/>
          <w:lang w:eastAsia="en-US"/>
        </w:rPr>
      </w:pPr>
      <w:r w:rsidRPr="00D77F16">
        <w:rPr>
          <w:rFonts w:eastAsiaTheme="minorHAnsi"/>
          <w:kern w:val="32"/>
          <w:sz w:val="26"/>
          <w:szCs w:val="26"/>
          <w:lang w:eastAsia="en-US"/>
        </w:rPr>
        <w:t>План</w:t>
      </w:r>
    </w:p>
    <w:p w:rsidR="00D77F16" w:rsidRPr="00D77F16" w:rsidRDefault="00D77F16" w:rsidP="00D77F16">
      <w:pPr>
        <w:autoSpaceDE w:val="0"/>
        <w:autoSpaceDN w:val="0"/>
        <w:adjustRightInd w:val="0"/>
        <w:jc w:val="center"/>
        <w:outlineLvl w:val="0"/>
        <w:rPr>
          <w:rFonts w:eastAsiaTheme="minorHAnsi"/>
          <w:kern w:val="32"/>
          <w:sz w:val="26"/>
          <w:szCs w:val="26"/>
          <w:lang w:eastAsia="en-US"/>
        </w:rPr>
      </w:pPr>
      <w:r w:rsidRPr="00D77F16">
        <w:rPr>
          <w:rFonts w:eastAsiaTheme="minorHAnsi"/>
          <w:kern w:val="32"/>
          <w:sz w:val="26"/>
          <w:szCs w:val="26"/>
          <w:lang w:eastAsia="en-US"/>
        </w:rPr>
        <w:t>реализации муниципальной программы</w:t>
      </w:r>
    </w:p>
    <w:p w:rsidR="00D77F16" w:rsidRPr="00D77F16" w:rsidRDefault="00D77F16" w:rsidP="00D77F16">
      <w:pPr>
        <w:autoSpaceDE w:val="0"/>
        <w:autoSpaceDN w:val="0"/>
        <w:adjustRightInd w:val="0"/>
        <w:jc w:val="center"/>
        <w:outlineLvl w:val="0"/>
        <w:rPr>
          <w:rFonts w:eastAsiaTheme="minorHAnsi"/>
          <w:kern w:val="32"/>
          <w:sz w:val="26"/>
          <w:szCs w:val="26"/>
          <w:lang w:eastAsia="en-US"/>
        </w:rPr>
      </w:pPr>
      <w:r w:rsidRPr="00D77F16">
        <w:rPr>
          <w:rFonts w:eastAsiaTheme="minorHAnsi"/>
          <w:kern w:val="32"/>
          <w:sz w:val="26"/>
          <w:szCs w:val="26"/>
          <w:lang w:eastAsia="en-US"/>
        </w:rPr>
        <w:t>муниципального образования "Городской округ "Город Нарьян-Мар"</w:t>
      </w:r>
    </w:p>
    <w:p w:rsidR="00D77F16" w:rsidRPr="00D77F16" w:rsidRDefault="00D77F16" w:rsidP="00D77F16">
      <w:pPr>
        <w:widowControl w:val="0"/>
        <w:tabs>
          <w:tab w:val="center" w:pos="4677"/>
          <w:tab w:val="right" w:pos="9355"/>
        </w:tabs>
        <w:autoSpaceDE w:val="0"/>
        <w:autoSpaceDN w:val="0"/>
        <w:adjustRightInd w:val="0"/>
        <w:ind w:right="55"/>
        <w:jc w:val="center"/>
        <w:outlineLvl w:val="1"/>
        <w:rPr>
          <w:rFonts w:eastAsiaTheme="minorHAnsi"/>
          <w:kern w:val="32"/>
          <w:sz w:val="26"/>
          <w:szCs w:val="26"/>
          <w:lang w:eastAsia="en-US"/>
        </w:rPr>
      </w:pPr>
      <w:r w:rsidRPr="00D77F16">
        <w:rPr>
          <w:sz w:val="26"/>
          <w:szCs w:val="22"/>
        </w:rPr>
        <w:t>"</w:t>
      </w:r>
      <w:r w:rsidRPr="00D77F16">
        <w:rPr>
          <w:sz w:val="26"/>
          <w:szCs w:val="26"/>
        </w:rPr>
        <w:t>Формирование комфортной городской среды в муниципальном образовании "Городской округ "Город Нарьян-Мар</w:t>
      </w:r>
      <w:r w:rsidRPr="00D77F16">
        <w:rPr>
          <w:sz w:val="26"/>
          <w:szCs w:val="22"/>
        </w:rPr>
        <w:t>"</w:t>
      </w:r>
      <w:r w:rsidRPr="00D77F16">
        <w:rPr>
          <w:rFonts w:eastAsiaTheme="minorHAnsi"/>
          <w:kern w:val="32"/>
          <w:sz w:val="26"/>
          <w:szCs w:val="26"/>
          <w:lang w:eastAsia="en-US"/>
        </w:rPr>
        <w:t xml:space="preserve"> на 2020 год</w:t>
      </w:r>
    </w:p>
    <w:p w:rsidR="00D77F16" w:rsidRPr="00D77F16" w:rsidRDefault="00D77F16" w:rsidP="00D77F16">
      <w:pPr>
        <w:autoSpaceDE w:val="0"/>
        <w:autoSpaceDN w:val="0"/>
        <w:adjustRightInd w:val="0"/>
        <w:ind w:right="55"/>
        <w:jc w:val="center"/>
        <w:outlineLvl w:val="0"/>
        <w:rPr>
          <w:rFonts w:eastAsiaTheme="minorHAnsi"/>
          <w:kern w:val="32"/>
          <w:sz w:val="26"/>
          <w:szCs w:val="26"/>
          <w:lang w:eastAsia="en-US"/>
        </w:rPr>
      </w:pPr>
    </w:p>
    <w:p w:rsidR="00D77F16" w:rsidRPr="00D77F16" w:rsidRDefault="00D77F16" w:rsidP="00D77F16">
      <w:pPr>
        <w:autoSpaceDE w:val="0"/>
        <w:autoSpaceDN w:val="0"/>
        <w:adjustRightInd w:val="0"/>
        <w:jc w:val="center"/>
        <w:outlineLvl w:val="0"/>
        <w:rPr>
          <w:rFonts w:eastAsiaTheme="minorHAnsi"/>
          <w:b/>
          <w:color w:val="FF0000"/>
          <w:kern w:val="32"/>
          <w:sz w:val="26"/>
          <w:szCs w:val="26"/>
          <w:lang w:eastAsia="en-US"/>
        </w:rPr>
      </w:pPr>
      <w:r w:rsidRPr="00D77F16">
        <w:rPr>
          <w:rFonts w:eastAsiaTheme="minorHAnsi"/>
          <w:kern w:val="32"/>
          <w:sz w:val="26"/>
          <w:szCs w:val="26"/>
          <w:lang w:eastAsia="en-US"/>
        </w:rPr>
        <w:t xml:space="preserve">Ответственный исполнитель: управление жилищно-коммунального хозяйства Администрации </w:t>
      </w:r>
      <w:r w:rsidRPr="00D77F16">
        <w:rPr>
          <w:sz w:val="26"/>
          <w:szCs w:val="22"/>
        </w:rPr>
        <w:t>муниципального образования "Городской округ "Город Нарьян-Мар"</w:t>
      </w:r>
    </w:p>
    <w:p w:rsidR="00D77F16" w:rsidRPr="00D77F16" w:rsidRDefault="00D77F16" w:rsidP="00D77F16">
      <w:pPr>
        <w:autoSpaceDE w:val="0"/>
        <w:autoSpaceDN w:val="0"/>
        <w:adjustRightInd w:val="0"/>
        <w:jc w:val="center"/>
        <w:rPr>
          <w:rFonts w:eastAsiaTheme="minorHAnsi"/>
          <w:sz w:val="26"/>
          <w:szCs w:val="26"/>
          <w:lang w:eastAsia="en-US"/>
        </w:rPr>
      </w:pPr>
    </w:p>
    <w:tbl>
      <w:tblPr>
        <w:tblStyle w:val="111"/>
        <w:tblW w:w="15417" w:type="dxa"/>
        <w:tblLayout w:type="fixed"/>
        <w:tblLook w:val="0000"/>
      </w:tblPr>
      <w:tblGrid>
        <w:gridCol w:w="3609"/>
        <w:gridCol w:w="2595"/>
        <w:gridCol w:w="1984"/>
        <w:gridCol w:w="1559"/>
        <w:gridCol w:w="1701"/>
        <w:gridCol w:w="1985"/>
        <w:gridCol w:w="1984"/>
      </w:tblGrid>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Наименование подпрограммы, мероприятий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Ответственный исполнитель</w:t>
            </w:r>
          </w:p>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(ФИО, должность)</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Планируемый срок проведения торгов</w:t>
            </w:r>
            <w:r>
              <w:rPr>
                <w:rFonts w:eastAsiaTheme="minorHAnsi"/>
                <w:sz w:val="24"/>
                <w:szCs w:val="24"/>
                <w:lang w:eastAsia="en-US"/>
              </w:rPr>
              <w:t xml:space="preserve"> </w:t>
            </w:r>
            <w:r w:rsidRPr="00D77F16">
              <w:rPr>
                <w:rFonts w:eastAsiaTheme="minorHAnsi"/>
                <w:sz w:val="24"/>
                <w:szCs w:val="24"/>
                <w:lang w:eastAsia="en-US"/>
              </w:rPr>
              <w:t>(в случае необходимости)</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Срок начала реализации</w:t>
            </w:r>
          </w:p>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мероприятия</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Срок</w:t>
            </w:r>
          </w:p>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окончания реализации</w:t>
            </w:r>
          </w:p>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мероприятия</w:t>
            </w:r>
          </w:p>
        </w:tc>
        <w:tc>
          <w:tcPr>
            <w:tcW w:w="198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Ожидаемый результат</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Финансирование текущего года,</w:t>
            </w:r>
          </w:p>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тыс. рублей</w:t>
            </w:r>
          </w:p>
        </w:tc>
      </w:tr>
      <w:tr w:rsidR="00D77F16" w:rsidRPr="00D77F16" w:rsidTr="00D77F16">
        <w:trPr>
          <w:trHeight w:val="127"/>
        </w:trPr>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2</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3</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4</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5</w:t>
            </w:r>
          </w:p>
        </w:tc>
        <w:tc>
          <w:tcPr>
            <w:tcW w:w="198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6</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7</w:t>
            </w:r>
          </w:p>
        </w:tc>
      </w:tr>
      <w:tr w:rsidR="00D77F16" w:rsidRPr="00D77F16" w:rsidTr="00D77F16">
        <w:trPr>
          <w:trHeight w:val="206"/>
        </w:trPr>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Подпрограмма 1. "Приоритетный проект "Формирование комфортной городской среды (благоустройство дворовых и общественных территорий)</w:t>
            </w:r>
            <w:r>
              <w:rPr>
                <w:rFonts w:eastAsiaTheme="minorHAnsi"/>
                <w:sz w:val="24"/>
                <w:szCs w:val="24"/>
                <w:lang w:eastAsia="en-US"/>
              </w:rPr>
              <w:t>"</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 116 028,8</w:t>
            </w:r>
          </w:p>
        </w:tc>
      </w:tr>
      <w:tr w:rsidR="00D77F16" w:rsidRPr="00D77F16" w:rsidTr="00D77F16">
        <w:tc>
          <w:tcPr>
            <w:tcW w:w="3609" w:type="dxa"/>
          </w:tcPr>
          <w:p w:rsidR="00D77F16" w:rsidRPr="00D77F16" w:rsidRDefault="00D77F16" w:rsidP="00D77F16">
            <w:pPr>
              <w:autoSpaceDE w:val="0"/>
              <w:autoSpaceDN w:val="0"/>
              <w:adjustRightInd w:val="0"/>
              <w:ind w:left="60"/>
              <w:rPr>
                <w:sz w:val="24"/>
                <w:szCs w:val="24"/>
              </w:rPr>
            </w:pPr>
            <w:r w:rsidRPr="00D77F16">
              <w:rPr>
                <w:sz w:val="24"/>
                <w:szCs w:val="24"/>
              </w:rPr>
              <w:t>1.2. Основное мероприятие: Благоустройство общественных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72 164,9</w:t>
            </w:r>
          </w:p>
        </w:tc>
      </w:tr>
      <w:tr w:rsidR="00D77F16" w:rsidRPr="00D77F16" w:rsidTr="00D77F16">
        <w:tc>
          <w:tcPr>
            <w:tcW w:w="3609" w:type="dxa"/>
          </w:tcPr>
          <w:p w:rsidR="00D77F16" w:rsidRPr="00D77F16" w:rsidRDefault="00D77F16" w:rsidP="00D77F16">
            <w:pPr>
              <w:autoSpaceDE w:val="0"/>
              <w:autoSpaceDN w:val="0"/>
              <w:adjustRightInd w:val="0"/>
              <w:ind w:left="60"/>
              <w:rPr>
                <w:sz w:val="24"/>
                <w:szCs w:val="24"/>
              </w:rPr>
            </w:pPr>
            <w:r w:rsidRPr="00D77F16">
              <w:rPr>
                <w:sz w:val="24"/>
                <w:szCs w:val="24"/>
              </w:rPr>
              <w:t xml:space="preserve">1.2.1. </w:t>
            </w:r>
            <w:proofErr w:type="spellStart"/>
            <w:r w:rsidRPr="00D77F16">
              <w:rPr>
                <w:sz w:val="24"/>
                <w:szCs w:val="24"/>
              </w:rPr>
              <w:t>Софинансирование</w:t>
            </w:r>
            <w:proofErr w:type="spellEnd"/>
            <w:r w:rsidRPr="00D77F16">
              <w:rPr>
                <w:sz w:val="24"/>
                <w:szCs w:val="24"/>
              </w:rPr>
              <w:t xml:space="preserve"> расходных обязательств </w:t>
            </w:r>
            <w:r>
              <w:rPr>
                <w:sz w:val="24"/>
                <w:szCs w:val="24"/>
              </w:rPr>
              <w:br/>
            </w:r>
            <w:r w:rsidRPr="00D77F16">
              <w:rPr>
                <w:sz w:val="24"/>
                <w:szCs w:val="24"/>
              </w:rPr>
              <w:t>по благоустройству территорий (Реализация комплексных проектов по благоустройству общественных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70 000,0</w:t>
            </w:r>
          </w:p>
        </w:tc>
      </w:tr>
      <w:tr w:rsidR="00D77F16" w:rsidRPr="00D77F16" w:rsidTr="00D77F16">
        <w:tc>
          <w:tcPr>
            <w:tcW w:w="3609" w:type="dxa"/>
          </w:tcPr>
          <w:p w:rsidR="00D77F16" w:rsidRPr="00D77F16" w:rsidRDefault="00D77F16" w:rsidP="00D77F16">
            <w:pPr>
              <w:autoSpaceDE w:val="0"/>
              <w:autoSpaceDN w:val="0"/>
              <w:adjustRightInd w:val="0"/>
              <w:ind w:left="60"/>
              <w:rPr>
                <w:sz w:val="24"/>
                <w:szCs w:val="24"/>
              </w:rPr>
            </w:pPr>
            <w:r w:rsidRPr="00D77F16">
              <w:rPr>
                <w:sz w:val="24"/>
                <w:szCs w:val="24"/>
              </w:rPr>
              <w:t>1.2.2. Реализация комплексных проектов по благоустройству общественных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2 164,9</w:t>
            </w:r>
          </w:p>
        </w:tc>
      </w:tr>
      <w:tr w:rsidR="00D77F16" w:rsidRPr="00D77F16" w:rsidTr="00D77F16">
        <w:tc>
          <w:tcPr>
            <w:tcW w:w="3609" w:type="dxa"/>
          </w:tcPr>
          <w:p w:rsidR="00D77F16" w:rsidRPr="00D77F16" w:rsidRDefault="00D77F16" w:rsidP="00D77F16">
            <w:pPr>
              <w:autoSpaceDE w:val="0"/>
              <w:autoSpaceDN w:val="0"/>
              <w:adjustRightInd w:val="0"/>
              <w:ind w:left="60"/>
              <w:rPr>
                <w:sz w:val="24"/>
                <w:szCs w:val="24"/>
              </w:rPr>
            </w:pPr>
            <w:r w:rsidRPr="00D77F16">
              <w:rPr>
                <w:sz w:val="24"/>
                <w:szCs w:val="24"/>
              </w:rPr>
              <w:t xml:space="preserve">Обустройство общественной территории (район улицы Смидовича (вдоль улицы Победы от Вечного огня)). </w:t>
            </w:r>
            <w:r>
              <w:rPr>
                <w:sz w:val="24"/>
                <w:szCs w:val="24"/>
              </w:rPr>
              <w:br/>
            </w:r>
            <w:r w:rsidRPr="00D77F16">
              <w:rPr>
                <w:sz w:val="24"/>
                <w:szCs w:val="24"/>
              </w:rPr>
              <w:t>2</w:t>
            </w:r>
            <w:r>
              <w:rPr>
                <w:sz w:val="24"/>
                <w:szCs w:val="24"/>
              </w:rPr>
              <w:t xml:space="preserve"> </w:t>
            </w:r>
            <w:r w:rsidRPr="00D77F16">
              <w:rPr>
                <w:sz w:val="24"/>
                <w:szCs w:val="24"/>
              </w:rPr>
              <w:t>этап</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в течение года</w:t>
            </w:r>
            <w:r w:rsidRPr="00D77F16">
              <w:rPr>
                <w:sz w:val="24"/>
                <w:szCs w:val="24"/>
              </w:rPr>
              <w:br/>
              <w:t>(в соответствии</w:t>
            </w:r>
            <w:r w:rsidRPr="00D77F16">
              <w:rPr>
                <w:sz w:val="24"/>
                <w:szCs w:val="24"/>
              </w:rPr>
              <w:br/>
              <w:t>с планом-графиком)</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май</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октябрь</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sz w:val="24"/>
                <w:szCs w:val="24"/>
              </w:rPr>
              <w:t>Обустройство общественной территории</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72 164,9</w:t>
            </w:r>
          </w:p>
        </w:tc>
      </w:tr>
      <w:tr w:rsidR="00D77F16" w:rsidRPr="00D77F16" w:rsidTr="00D77F16">
        <w:tc>
          <w:tcPr>
            <w:tcW w:w="3609" w:type="dxa"/>
          </w:tcPr>
          <w:p w:rsidR="00D77F16" w:rsidRPr="00D77F16" w:rsidRDefault="00D77F16" w:rsidP="00D77F16">
            <w:pPr>
              <w:rPr>
                <w:sz w:val="24"/>
                <w:szCs w:val="24"/>
              </w:rPr>
            </w:pPr>
            <w:r w:rsidRPr="00D77F16">
              <w:rPr>
                <w:sz w:val="24"/>
                <w:szCs w:val="24"/>
              </w:rPr>
              <w:t>1.4. Основное мероприятие: Благоустройство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43 863,9</w:t>
            </w:r>
          </w:p>
        </w:tc>
      </w:tr>
      <w:tr w:rsidR="00D77F16" w:rsidRPr="00D77F16" w:rsidTr="00D77F16">
        <w:tc>
          <w:tcPr>
            <w:tcW w:w="3609" w:type="dxa"/>
          </w:tcPr>
          <w:p w:rsidR="00D77F16" w:rsidRPr="00D77F16" w:rsidRDefault="00D77F16" w:rsidP="00D77F16">
            <w:pPr>
              <w:rPr>
                <w:sz w:val="24"/>
                <w:szCs w:val="24"/>
              </w:rPr>
            </w:pPr>
            <w:r w:rsidRPr="00D77F16">
              <w:rPr>
                <w:sz w:val="24"/>
                <w:szCs w:val="24"/>
              </w:rPr>
              <w:t xml:space="preserve">1.4.1. </w:t>
            </w:r>
            <w:proofErr w:type="spellStart"/>
            <w:proofErr w:type="gramStart"/>
            <w:r w:rsidRPr="00D77F16">
              <w:rPr>
                <w:sz w:val="24"/>
                <w:szCs w:val="24"/>
              </w:rPr>
              <w:t>C</w:t>
            </w:r>
            <w:proofErr w:type="gramEnd"/>
            <w:r w:rsidRPr="00D77F16">
              <w:rPr>
                <w:sz w:val="24"/>
                <w:szCs w:val="24"/>
              </w:rPr>
              <w:t>офинансирование</w:t>
            </w:r>
            <w:proofErr w:type="spellEnd"/>
            <w:r w:rsidRPr="00D77F16">
              <w:rPr>
                <w:sz w:val="24"/>
                <w:szCs w:val="24"/>
              </w:rPr>
              <w:t xml:space="preserve"> расходных обязательств </w:t>
            </w:r>
            <w:r>
              <w:rPr>
                <w:sz w:val="24"/>
                <w:szCs w:val="24"/>
              </w:rPr>
              <w:br/>
            </w:r>
            <w:r w:rsidRPr="00D77F16">
              <w:rPr>
                <w:sz w:val="24"/>
                <w:szCs w:val="24"/>
              </w:rPr>
              <w:t>по благоустройству территорий (Реализация мероприятий по благоустройству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42 548,0</w:t>
            </w:r>
          </w:p>
        </w:tc>
      </w:tr>
      <w:tr w:rsidR="00D77F16" w:rsidRPr="00D77F16" w:rsidTr="00D77F16">
        <w:tc>
          <w:tcPr>
            <w:tcW w:w="3609" w:type="dxa"/>
          </w:tcPr>
          <w:p w:rsidR="00D77F16" w:rsidRPr="00D77F16" w:rsidRDefault="00D77F16" w:rsidP="00D77F16">
            <w:pPr>
              <w:rPr>
                <w:sz w:val="24"/>
                <w:szCs w:val="24"/>
              </w:rPr>
            </w:pPr>
            <w:r w:rsidRPr="00D77F16">
              <w:rPr>
                <w:sz w:val="24"/>
                <w:szCs w:val="24"/>
              </w:rPr>
              <w:t>1.4.2. Реализация мероприятий по благоустройству территорий</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1 315,9</w:t>
            </w:r>
          </w:p>
        </w:tc>
      </w:tr>
      <w:tr w:rsidR="00D77F16" w:rsidRPr="00D77F16" w:rsidTr="00D77F16">
        <w:tc>
          <w:tcPr>
            <w:tcW w:w="3609" w:type="dxa"/>
          </w:tcPr>
          <w:p w:rsidR="00D77F16" w:rsidRPr="00D77F16" w:rsidRDefault="00D77F16" w:rsidP="00D77F16">
            <w:pPr>
              <w:rPr>
                <w:sz w:val="24"/>
                <w:szCs w:val="24"/>
              </w:rPr>
            </w:pPr>
            <w:r w:rsidRPr="00D77F16">
              <w:rPr>
                <w:sz w:val="24"/>
                <w:szCs w:val="24"/>
              </w:rPr>
              <w:t>Обустройство общественной территории в микрорайоне "Старый аэропорт"</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в течение года</w:t>
            </w:r>
            <w:r w:rsidRPr="00D77F16">
              <w:rPr>
                <w:sz w:val="24"/>
                <w:szCs w:val="24"/>
              </w:rPr>
              <w:br/>
              <w:t>(в соответствии</w:t>
            </w:r>
            <w:r w:rsidRPr="00D77F16">
              <w:rPr>
                <w:sz w:val="24"/>
                <w:szCs w:val="24"/>
              </w:rPr>
              <w:br/>
              <w:t>с планом-графиком)</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май</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октябрь</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sz w:val="24"/>
                <w:szCs w:val="24"/>
              </w:rPr>
              <w:t>Обустройство общественной территории</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10 646,3</w:t>
            </w:r>
          </w:p>
        </w:tc>
      </w:tr>
      <w:tr w:rsidR="00D77F16" w:rsidRPr="00D77F16" w:rsidTr="00D77F16">
        <w:tc>
          <w:tcPr>
            <w:tcW w:w="3609" w:type="dxa"/>
          </w:tcPr>
          <w:p w:rsidR="00D77F16" w:rsidRPr="00D77F16" w:rsidRDefault="00D77F16" w:rsidP="00D77F16">
            <w:pPr>
              <w:rPr>
                <w:sz w:val="24"/>
                <w:szCs w:val="24"/>
              </w:rPr>
            </w:pPr>
            <w:r w:rsidRPr="00D77F16">
              <w:rPr>
                <w:sz w:val="24"/>
                <w:szCs w:val="24"/>
              </w:rPr>
              <w:t>Обустройство общественной территории в районе снесенного дома № 10 по ул. Смидовича</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в течение года</w:t>
            </w:r>
            <w:r w:rsidRPr="00D77F16">
              <w:rPr>
                <w:sz w:val="24"/>
                <w:szCs w:val="24"/>
              </w:rPr>
              <w:br/>
              <w:t>(в соответствии</w:t>
            </w:r>
            <w:r w:rsidRPr="00D77F16">
              <w:rPr>
                <w:sz w:val="24"/>
                <w:szCs w:val="24"/>
              </w:rPr>
              <w:br/>
              <w:t>с планом-графиком)</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май</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октябрь</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sz w:val="24"/>
                <w:szCs w:val="24"/>
              </w:rPr>
              <w:t>Обустройство общественной территории</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17 941,6</w:t>
            </w:r>
          </w:p>
        </w:tc>
      </w:tr>
      <w:tr w:rsidR="00D77F16" w:rsidRPr="00D77F16" w:rsidTr="00D77F16">
        <w:tc>
          <w:tcPr>
            <w:tcW w:w="3609" w:type="dxa"/>
          </w:tcPr>
          <w:p w:rsidR="00D77F16" w:rsidRPr="00D77F16" w:rsidRDefault="00D77F16" w:rsidP="00D77F16">
            <w:pPr>
              <w:rPr>
                <w:sz w:val="24"/>
                <w:szCs w:val="24"/>
              </w:rPr>
            </w:pPr>
            <w:r w:rsidRPr="00D77F16">
              <w:rPr>
                <w:sz w:val="24"/>
                <w:szCs w:val="24"/>
              </w:rPr>
              <w:t xml:space="preserve">Обустройство территорий жилых домов по ул. М. Баева </w:t>
            </w:r>
            <w:r>
              <w:rPr>
                <w:sz w:val="24"/>
                <w:szCs w:val="24"/>
              </w:rPr>
              <w:br/>
            </w:r>
            <w:r w:rsidRPr="00D77F16">
              <w:rPr>
                <w:sz w:val="24"/>
                <w:szCs w:val="24"/>
              </w:rPr>
              <w:t>в районе д. 1, д. 2, д.</w:t>
            </w:r>
            <w:r w:rsidR="00794321">
              <w:rPr>
                <w:sz w:val="24"/>
                <w:szCs w:val="24"/>
              </w:rPr>
              <w:t xml:space="preserve"> </w:t>
            </w:r>
            <w:r w:rsidRPr="00D77F16">
              <w:rPr>
                <w:sz w:val="24"/>
                <w:szCs w:val="24"/>
              </w:rPr>
              <w:t>4 в городе Нарьян-Маре</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в течение года</w:t>
            </w:r>
            <w:r w:rsidRPr="00D77F16">
              <w:rPr>
                <w:sz w:val="24"/>
                <w:szCs w:val="24"/>
              </w:rPr>
              <w:br/>
              <w:t>(в соответствии</w:t>
            </w:r>
            <w:r w:rsidRPr="00D77F16">
              <w:rPr>
                <w:sz w:val="24"/>
                <w:szCs w:val="24"/>
              </w:rPr>
              <w:br/>
              <w:t>с планом-графиком)</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май</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октябрь</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sz w:val="24"/>
                <w:szCs w:val="24"/>
              </w:rPr>
              <w:t>Благоустройство общественной территории</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15 276,1</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Подпрограмма 2. "Приоритетный проект "Формирование комфортной городской среды (благоустройство парков)</w:t>
            </w:r>
            <w:r w:rsidR="00794321">
              <w:rPr>
                <w:rFonts w:eastAsiaTheme="minorHAnsi"/>
                <w:sz w:val="24"/>
                <w:szCs w:val="24"/>
                <w:lang w:eastAsia="en-US"/>
              </w:rPr>
              <w:t>"</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10 309,3</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2.1. 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2595" w:type="dxa"/>
          </w:tcPr>
          <w:p w:rsidR="00D77F16" w:rsidRPr="00D77F16" w:rsidRDefault="00D77F16" w:rsidP="00D77F16">
            <w:pPr>
              <w:autoSpaceDE w:val="0"/>
              <w:autoSpaceDN w:val="0"/>
              <w:adjustRightInd w:val="0"/>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10 309,3</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 xml:space="preserve">2.1.1. </w:t>
            </w:r>
            <w:proofErr w:type="spellStart"/>
            <w:r w:rsidRPr="00D77F16">
              <w:rPr>
                <w:rFonts w:eastAsiaTheme="minorHAnsi"/>
                <w:sz w:val="24"/>
                <w:szCs w:val="24"/>
                <w:lang w:eastAsia="en-US"/>
              </w:rPr>
              <w:t>Софинансирование</w:t>
            </w:r>
            <w:proofErr w:type="spellEnd"/>
            <w:r w:rsidRPr="00D77F16">
              <w:rPr>
                <w:rFonts w:eastAsiaTheme="minorHAnsi"/>
                <w:sz w:val="24"/>
                <w:szCs w:val="24"/>
                <w:lang w:eastAsia="en-US"/>
              </w:rPr>
              <w:t xml:space="preserve"> обустройства мест массового отдыха населения (городских парков)</w:t>
            </w:r>
          </w:p>
        </w:tc>
        <w:tc>
          <w:tcPr>
            <w:tcW w:w="2595" w:type="dxa"/>
          </w:tcPr>
          <w:p w:rsidR="00D77F16" w:rsidRPr="00D77F16" w:rsidRDefault="00D77F16" w:rsidP="00D77F16">
            <w:pPr>
              <w:rPr>
                <w:sz w:val="24"/>
                <w:szCs w:val="24"/>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10 000,0</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2.1.2. Обустройство мест массового отдыха населения (городских парков)</w:t>
            </w:r>
          </w:p>
        </w:tc>
        <w:tc>
          <w:tcPr>
            <w:tcW w:w="2595" w:type="dxa"/>
          </w:tcPr>
          <w:p w:rsidR="00D77F16" w:rsidRPr="00D77F16" w:rsidRDefault="00D77F16" w:rsidP="00D77F16">
            <w:pPr>
              <w:rPr>
                <w:sz w:val="24"/>
                <w:szCs w:val="24"/>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Х</w:t>
            </w:r>
          </w:p>
        </w:tc>
        <w:tc>
          <w:tcPr>
            <w:tcW w:w="1985" w:type="dxa"/>
          </w:tcPr>
          <w:p w:rsidR="00D77F16" w:rsidRPr="00D77F16" w:rsidRDefault="00D77F16" w:rsidP="00D77F16">
            <w:pPr>
              <w:widowControl w:val="0"/>
              <w:autoSpaceDE w:val="0"/>
              <w:autoSpaceDN w:val="0"/>
              <w:rPr>
                <w:rFonts w:eastAsiaTheme="minorHAnsi"/>
                <w:sz w:val="24"/>
                <w:szCs w:val="24"/>
                <w:lang w:eastAsia="en-US"/>
              </w:rPr>
            </w:pPr>
            <w:r w:rsidRPr="00D77F16">
              <w:rPr>
                <w:rFonts w:eastAsiaTheme="minorHAnsi"/>
                <w:sz w:val="24"/>
                <w:szCs w:val="24"/>
                <w:lang w:eastAsia="en-US"/>
              </w:rPr>
              <w:t>Х</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309,3</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proofErr w:type="gramStart"/>
            <w:r w:rsidRPr="00D77F16">
              <w:rPr>
                <w:rFonts w:eastAsiaTheme="minorHAnsi"/>
                <w:sz w:val="24"/>
                <w:szCs w:val="24"/>
                <w:lang w:eastAsia="en-US"/>
              </w:rPr>
              <w:t xml:space="preserve">Обустройство городского парка в районе ул. Юбилейная </w:t>
            </w:r>
            <w:r w:rsidR="00794321">
              <w:rPr>
                <w:rFonts w:eastAsiaTheme="minorHAnsi"/>
                <w:sz w:val="24"/>
                <w:szCs w:val="24"/>
                <w:lang w:eastAsia="en-US"/>
              </w:rPr>
              <w:br/>
            </w:r>
            <w:r w:rsidRPr="00D77F16">
              <w:rPr>
                <w:rFonts w:eastAsiaTheme="minorHAnsi"/>
                <w:sz w:val="24"/>
                <w:szCs w:val="24"/>
                <w:lang w:eastAsia="en-US"/>
              </w:rPr>
              <w:t>в г. Нарьян-Маре</w:t>
            </w:r>
            <w:proofErr w:type="gramEnd"/>
          </w:p>
        </w:tc>
        <w:tc>
          <w:tcPr>
            <w:tcW w:w="2595" w:type="dxa"/>
          </w:tcPr>
          <w:p w:rsidR="00D77F16" w:rsidRPr="00D77F16" w:rsidRDefault="00D77F16" w:rsidP="00D77F16">
            <w:pPr>
              <w:rPr>
                <w:sz w:val="24"/>
                <w:szCs w:val="24"/>
              </w:rPr>
            </w:pPr>
            <w:r w:rsidRPr="00D77F16">
              <w:rPr>
                <w:rFonts w:eastAsiaTheme="minorHAnsi"/>
                <w:sz w:val="24"/>
                <w:szCs w:val="24"/>
                <w:lang w:eastAsia="en-US"/>
              </w:rPr>
              <w:t xml:space="preserve">управление жилищно-коммунального хозяйства, МКУ "УГХ </w:t>
            </w:r>
            <w:r w:rsidRPr="00D77F16">
              <w:rPr>
                <w:rFonts w:eastAsiaTheme="minorHAnsi"/>
                <w:sz w:val="24"/>
                <w:szCs w:val="24"/>
                <w:lang w:eastAsia="en-US"/>
              </w:rPr>
              <w:br/>
              <w:t>г. Нарьян-Мара"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в течение года</w:t>
            </w:r>
            <w:r w:rsidRPr="00D77F16">
              <w:rPr>
                <w:sz w:val="24"/>
                <w:szCs w:val="24"/>
              </w:rPr>
              <w:br/>
              <w:t>(в соответствии</w:t>
            </w:r>
            <w:r w:rsidRPr="00D77F16">
              <w:rPr>
                <w:sz w:val="24"/>
                <w:szCs w:val="24"/>
              </w:rPr>
              <w:br/>
              <w:t>с планом-графиком)</w:t>
            </w:r>
          </w:p>
        </w:tc>
        <w:tc>
          <w:tcPr>
            <w:tcW w:w="155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май</w:t>
            </w:r>
          </w:p>
        </w:tc>
        <w:tc>
          <w:tcPr>
            <w:tcW w:w="1701"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октябрь</w:t>
            </w:r>
          </w:p>
        </w:tc>
        <w:tc>
          <w:tcPr>
            <w:tcW w:w="1985" w:type="dxa"/>
          </w:tcPr>
          <w:p w:rsidR="00D77F16" w:rsidRPr="00D77F16" w:rsidRDefault="00D77F16" w:rsidP="00D77F16">
            <w:pPr>
              <w:autoSpaceDE w:val="0"/>
              <w:autoSpaceDN w:val="0"/>
              <w:adjustRightInd w:val="0"/>
              <w:rPr>
                <w:rFonts w:eastAsiaTheme="minorHAnsi"/>
                <w:sz w:val="24"/>
                <w:szCs w:val="24"/>
                <w:lang w:eastAsia="en-US"/>
              </w:rPr>
            </w:pPr>
            <w:r w:rsidRPr="00D77F16">
              <w:rPr>
                <w:sz w:val="24"/>
                <w:szCs w:val="24"/>
              </w:rPr>
              <w:t>Обустройство городского парка</w:t>
            </w: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10 309,3</w:t>
            </w:r>
          </w:p>
        </w:tc>
      </w:tr>
      <w:tr w:rsidR="00D77F16" w:rsidRPr="00D77F16" w:rsidTr="00D77F16">
        <w:tc>
          <w:tcPr>
            <w:tcW w:w="3609"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sz w:val="24"/>
                <w:szCs w:val="24"/>
                <w:lang w:eastAsia="en-US"/>
              </w:rPr>
              <w:t>Итого</w:t>
            </w:r>
          </w:p>
        </w:tc>
        <w:tc>
          <w:tcPr>
            <w:tcW w:w="2595" w:type="dxa"/>
          </w:tcPr>
          <w:p w:rsidR="00D77F16" w:rsidRPr="00D77F16" w:rsidRDefault="00D77F16" w:rsidP="00D77F16">
            <w:pPr>
              <w:autoSpaceDE w:val="0"/>
              <w:autoSpaceDN w:val="0"/>
              <w:adjustRightInd w:val="0"/>
              <w:jc w:val="both"/>
              <w:rPr>
                <w:rFonts w:eastAsiaTheme="minorHAnsi"/>
                <w:sz w:val="24"/>
                <w:szCs w:val="24"/>
                <w:lang w:eastAsia="en-US"/>
              </w:rPr>
            </w:pPr>
          </w:p>
        </w:tc>
        <w:tc>
          <w:tcPr>
            <w:tcW w:w="1984" w:type="dxa"/>
          </w:tcPr>
          <w:p w:rsidR="00D77F16" w:rsidRPr="00D77F16" w:rsidRDefault="00D77F16" w:rsidP="00D77F16">
            <w:pPr>
              <w:autoSpaceDE w:val="0"/>
              <w:autoSpaceDN w:val="0"/>
              <w:adjustRightInd w:val="0"/>
              <w:jc w:val="both"/>
              <w:rPr>
                <w:rFonts w:eastAsiaTheme="minorHAnsi"/>
                <w:sz w:val="24"/>
                <w:szCs w:val="24"/>
                <w:lang w:eastAsia="en-US"/>
              </w:rPr>
            </w:pPr>
          </w:p>
        </w:tc>
        <w:tc>
          <w:tcPr>
            <w:tcW w:w="1559" w:type="dxa"/>
          </w:tcPr>
          <w:p w:rsidR="00D77F16" w:rsidRPr="00D77F16" w:rsidRDefault="00D77F16" w:rsidP="00D77F16">
            <w:pPr>
              <w:autoSpaceDE w:val="0"/>
              <w:autoSpaceDN w:val="0"/>
              <w:adjustRightInd w:val="0"/>
              <w:jc w:val="both"/>
              <w:rPr>
                <w:rFonts w:eastAsiaTheme="minorHAnsi"/>
                <w:sz w:val="24"/>
                <w:szCs w:val="24"/>
                <w:lang w:eastAsia="en-US"/>
              </w:rPr>
            </w:pPr>
          </w:p>
        </w:tc>
        <w:tc>
          <w:tcPr>
            <w:tcW w:w="1701" w:type="dxa"/>
          </w:tcPr>
          <w:p w:rsidR="00D77F16" w:rsidRPr="00D77F16" w:rsidRDefault="00D77F16" w:rsidP="00D77F16">
            <w:pPr>
              <w:autoSpaceDE w:val="0"/>
              <w:autoSpaceDN w:val="0"/>
              <w:adjustRightInd w:val="0"/>
              <w:jc w:val="both"/>
              <w:rPr>
                <w:rFonts w:eastAsiaTheme="minorHAnsi"/>
                <w:sz w:val="24"/>
                <w:szCs w:val="24"/>
                <w:lang w:eastAsia="en-US"/>
              </w:rPr>
            </w:pPr>
          </w:p>
        </w:tc>
        <w:tc>
          <w:tcPr>
            <w:tcW w:w="1985" w:type="dxa"/>
          </w:tcPr>
          <w:p w:rsidR="00D77F16" w:rsidRPr="00D77F16" w:rsidRDefault="00D77F16" w:rsidP="00D77F16">
            <w:pPr>
              <w:autoSpaceDE w:val="0"/>
              <w:autoSpaceDN w:val="0"/>
              <w:adjustRightInd w:val="0"/>
              <w:jc w:val="both"/>
              <w:rPr>
                <w:rFonts w:eastAsiaTheme="minorHAnsi"/>
                <w:sz w:val="24"/>
                <w:szCs w:val="24"/>
                <w:lang w:eastAsia="en-US"/>
              </w:rPr>
            </w:pPr>
          </w:p>
        </w:tc>
        <w:tc>
          <w:tcPr>
            <w:tcW w:w="1984" w:type="dxa"/>
          </w:tcPr>
          <w:p w:rsidR="00D77F16" w:rsidRPr="00D77F16" w:rsidRDefault="00D77F16" w:rsidP="00D77F16">
            <w:pPr>
              <w:autoSpaceDE w:val="0"/>
              <w:autoSpaceDN w:val="0"/>
              <w:adjustRightInd w:val="0"/>
              <w:rPr>
                <w:rFonts w:eastAsiaTheme="minorHAnsi"/>
                <w:sz w:val="24"/>
                <w:szCs w:val="24"/>
                <w:lang w:eastAsia="en-US"/>
              </w:rPr>
            </w:pPr>
            <w:r w:rsidRPr="00D77F16">
              <w:rPr>
                <w:rFonts w:eastAsiaTheme="minorHAnsi"/>
                <w:bCs/>
                <w:sz w:val="24"/>
                <w:szCs w:val="24"/>
                <w:lang w:eastAsia="en-US"/>
              </w:rPr>
              <w:t>126 338,1</w:t>
            </w:r>
          </w:p>
        </w:tc>
      </w:tr>
    </w:tbl>
    <w:p w:rsidR="00D77F16" w:rsidRPr="00D77F16" w:rsidRDefault="00D77F16" w:rsidP="00D77F16">
      <w:pPr>
        <w:autoSpaceDE w:val="0"/>
        <w:autoSpaceDN w:val="0"/>
        <w:adjustRightInd w:val="0"/>
        <w:jc w:val="center"/>
        <w:rPr>
          <w:rFonts w:eastAsiaTheme="minorHAnsi"/>
          <w:lang w:eastAsia="en-US"/>
        </w:rPr>
      </w:pPr>
    </w:p>
    <w:sectPr w:rsidR="00D77F16" w:rsidRPr="00D77F16" w:rsidSect="00D77F1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15" w:rsidRDefault="00EF4215" w:rsidP="0035168A">
      <w:r>
        <w:separator/>
      </w:r>
    </w:p>
  </w:endnote>
  <w:endnote w:type="continuationSeparator" w:id="0">
    <w:p w:rsidR="00EF4215" w:rsidRDefault="00EF421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15" w:rsidRDefault="00EF4215" w:rsidP="0035168A">
      <w:r>
        <w:separator/>
      </w:r>
    </w:p>
  </w:footnote>
  <w:footnote w:type="continuationSeparator" w:id="0">
    <w:p w:rsidR="00EF4215" w:rsidRDefault="00EF421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2F7E18">
        <w:pPr>
          <w:pStyle w:val="a3"/>
          <w:jc w:val="center"/>
        </w:pPr>
        <w:fldSimple w:instr=" PAGE   \* MERGEFORMAT ">
          <w:r w:rsidR="00794321">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2F7E18"/>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321"/>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77F16"/>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
    <w:uiPriority w:val="59"/>
    <w:rsid w:val="00D7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4F3E1211CA91E230DC7B38DB00A7994539A63A59A0EF370901372363BF702C1EB207FEFEF6BE07D9F645FABCEEEDB1d2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98A06-5B04-461C-97B2-C08576FB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2020-01-10T09:22:00Z</dcterms:created>
  <dcterms:modified xsi:type="dcterms:W3CDTF">2020-01-10T09:22:00Z</dcterms:modified>
</cp:coreProperties>
</file>