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D021EA" w:rsidP="00491DA5">
            <w:pPr>
              <w:jc w:val="center"/>
            </w:pPr>
            <w:bookmarkStart w:id="0" w:name="ТекстовоеПоле7"/>
            <w:r>
              <w:t>2</w:t>
            </w:r>
            <w:r w:rsidR="00491DA5">
              <w:t>9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021EA">
            <w:pPr>
              <w:jc w:val="center"/>
            </w:pPr>
            <w:r>
              <w:t>0</w:t>
            </w:r>
            <w:r w:rsidR="00D021EA">
              <w:t>5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491DA5">
            <w:pPr>
              <w:jc w:val="center"/>
            </w:pPr>
            <w:r>
              <w:t>6</w:t>
            </w:r>
            <w:r w:rsidR="00491DA5">
              <w:t>6</w:t>
            </w:r>
            <w:r w:rsidR="00DA0C6C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DA0C6C" w:rsidRPr="00214E46" w:rsidRDefault="00DA0C6C" w:rsidP="00DA0C6C">
      <w:pPr>
        <w:ind w:right="4393"/>
        <w:jc w:val="both"/>
        <w:rPr>
          <w:sz w:val="26"/>
        </w:rPr>
      </w:pPr>
      <w:r w:rsidRPr="00214E46">
        <w:rPr>
          <w:sz w:val="26"/>
        </w:rPr>
        <w:t>О внесении изменени</w:t>
      </w:r>
      <w:r>
        <w:rPr>
          <w:sz w:val="26"/>
        </w:rPr>
        <w:t>я</w:t>
      </w:r>
      <w:r w:rsidRPr="00214E46">
        <w:rPr>
          <w:sz w:val="26"/>
        </w:rPr>
        <w:t xml:space="preserve"> в постановление</w:t>
      </w:r>
      <w:r>
        <w:rPr>
          <w:sz w:val="26"/>
        </w:rPr>
        <w:t xml:space="preserve"> </w:t>
      </w:r>
      <w:r w:rsidRPr="00214E46">
        <w:rPr>
          <w:sz w:val="26"/>
        </w:rPr>
        <w:t xml:space="preserve">Администрации МО "Городской округ </w:t>
      </w:r>
      <w:r>
        <w:rPr>
          <w:sz w:val="26"/>
        </w:rPr>
        <w:t xml:space="preserve"> </w:t>
      </w:r>
      <w:r w:rsidRPr="00214E46">
        <w:rPr>
          <w:sz w:val="26"/>
        </w:rPr>
        <w:t>"Город Нарьян-Мар" от 25.11.2008 № 1867</w:t>
      </w:r>
      <w:r>
        <w:rPr>
          <w:sz w:val="26"/>
        </w:rPr>
        <w:t xml:space="preserve"> </w:t>
      </w:r>
      <w:r w:rsidRPr="00214E46">
        <w:rPr>
          <w:sz w:val="26"/>
        </w:rPr>
        <w:t xml:space="preserve">"Об утверждении расписания движения </w:t>
      </w:r>
      <w:r>
        <w:rPr>
          <w:sz w:val="26"/>
        </w:rPr>
        <w:t xml:space="preserve"> </w:t>
      </w:r>
      <w:r w:rsidRPr="00214E46">
        <w:rPr>
          <w:sz w:val="26"/>
        </w:rPr>
        <w:t>общественного транспорта в г. Нарьян-Маре"</w:t>
      </w:r>
    </w:p>
    <w:p w:rsidR="00DA0C6C" w:rsidRPr="00214E46" w:rsidRDefault="00DA0C6C" w:rsidP="00DA0C6C">
      <w:pPr>
        <w:jc w:val="both"/>
        <w:rPr>
          <w:sz w:val="26"/>
        </w:rPr>
      </w:pPr>
    </w:p>
    <w:p w:rsidR="00DA0C6C" w:rsidRDefault="00DA0C6C" w:rsidP="00DA0C6C">
      <w:pPr>
        <w:jc w:val="both"/>
        <w:rPr>
          <w:sz w:val="26"/>
        </w:rPr>
      </w:pPr>
    </w:p>
    <w:p w:rsidR="00DA0C6C" w:rsidRPr="00214E46" w:rsidRDefault="00DA0C6C" w:rsidP="00DA0C6C">
      <w:pPr>
        <w:jc w:val="both"/>
        <w:rPr>
          <w:sz w:val="26"/>
        </w:rPr>
      </w:pPr>
    </w:p>
    <w:p w:rsidR="00DA0C6C" w:rsidRPr="00214E46" w:rsidRDefault="00DA0C6C" w:rsidP="00DA0C6C">
      <w:pPr>
        <w:ind w:firstLine="709"/>
        <w:jc w:val="both"/>
        <w:rPr>
          <w:sz w:val="26"/>
        </w:rPr>
      </w:pPr>
      <w:r w:rsidRPr="00214E46">
        <w:rPr>
          <w:sz w:val="26"/>
        </w:rPr>
        <w:t xml:space="preserve">В целях решения вопроса местного значения "Создание условий </w:t>
      </w:r>
      <w:r>
        <w:rPr>
          <w:sz w:val="26"/>
        </w:rPr>
        <w:t xml:space="preserve">                       </w:t>
      </w:r>
      <w:r w:rsidRPr="00214E46">
        <w:rPr>
          <w:sz w:val="26"/>
        </w:rPr>
        <w:t>для предоставления транспортных услуг населению и организация транспортного обслуживания населения в</w:t>
      </w:r>
      <w:r>
        <w:rPr>
          <w:sz w:val="26"/>
        </w:rPr>
        <w:t xml:space="preserve"> границах городского округа" и </w:t>
      </w:r>
      <w:r w:rsidRPr="00214E46">
        <w:rPr>
          <w:sz w:val="26"/>
        </w:rPr>
        <w:t>упорядочения работы общественн</w:t>
      </w:r>
      <w:r>
        <w:rPr>
          <w:sz w:val="26"/>
        </w:rPr>
        <w:t xml:space="preserve">ого транспорта в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Нарьян-Маре</w:t>
      </w:r>
      <w:r w:rsidRPr="00214E46">
        <w:rPr>
          <w:sz w:val="26"/>
        </w:rPr>
        <w:t xml:space="preserve"> Администрация МО "Городской округ "Город Нарьян-Мар"</w:t>
      </w:r>
    </w:p>
    <w:p w:rsidR="00DA0C6C" w:rsidRPr="00214E46" w:rsidRDefault="00DA0C6C" w:rsidP="00DA0C6C">
      <w:pPr>
        <w:ind w:firstLine="709"/>
        <w:jc w:val="both"/>
        <w:rPr>
          <w:sz w:val="26"/>
        </w:rPr>
      </w:pPr>
    </w:p>
    <w:p w:rsidR="00DA0C6C" w:rsidRPr="00214E46" w:rsidRDefault="00DA0C6C" w:rsidP="00DA0C6C">
      <w:pPr>
        <w:ind w:firstLine="709"/>
        <w:jc w:val="center"/>
        <w:rPr>
          <w:b/>
          <w:bCs/>
          <w:sz w:val="26"/>
        </w:rPr>
      </w:pPr>
      <w:proofErr w:type="gramStart"/>
      <w:r w:rsidRPr="00214E46">
        <w:rPr>
          <w:b/>
          <w:bCs/>
          <w:sz w:val="26"/>
        </w:rPr>
        <w:t>П</w:t>
      </w:r>
      <w:proofErr w:type="gramEnd"/>
      <w:r w:rsidRPr="00214E46">
        <w:rPr>
          <w:b/>
          <w:bCs/>
          <w:sz w:val="26"/>
        </w:rPr>
        <w:t xml:space="preserve"> О С Т А Н О В Л Я ЕТ:</w:t>
      </w:r>
    </w:p>
    <w:p w:rsidR="00DA0C6C" w:rsidRPr="00214E46" w:rsidRDefault="00DA0C6C" w:rsidP="00DA0C6C">
      <w:pPr>
        <w:ind w:firstLine="709"/>
        <w:rPr>
          <w:b/>
          <w:bCs/>
          <w:sz w:val="26"/>
        </w:rPr>
      </w:pPr>
    </w:p>
    <w:p w:rsidR="00DA0C6C" w:rsidRPr="004E1ADF" w:rsidRDefault="00DA0C6C" w:rsidP="00DA0C6C">
      <w:pPr>
        <w:numPr>
          <w:ilvl w:val="0"/>
          <w:numId w:val="15"/>
        </w:numPr>
        <w:tabs>
          <w:tab w:val="clear" w:pos="1058"/>
          <w:tab w:val="left" w:pos="1134"/>
        </w:tabs>
        <w:ind w:left="0" w:firstLine="709"/>
        <w:jc w:val="both"/>
        <w:rPr>
          <w:sz w:val="26"/>
          <w:szCs w:val="26"/>
        </w:rPr>
      </w:pPr>
      <w:r w:rsidRPr="002909EB">
        <w:rPr>
          <w:sz w:val="26"/>
          <w:szCs w:val="20"/>
        </w:rPr>
        <w:t xml:space="preserve">Внести в постановление Администрации МО "Городской округ "Город Нарьян-Мар" от 25.11.2008 № 1867 "Об утверждении расписания движения общественного транспорта в г. Нарьян-Маре" (в ред. от </w:t>
      </w:r>
      <w:r w:rsidRPr="001B2EDE">
        <w:rPr>
          <w:sz w:val="26"/>
          <w:szCs w:val="20"/>
        </w:rPr>
        <w:t>1</w:t>
      </w:r>
      <w:r>
        <w:rPr>
          <w:sz w:val="26"/>
          <w:szCs w:val="20"/>
        </w:rPr>
        <w:t>3</w:t>
      </w:r>
      <w:r w:rsidRPr="001B2EDE">
        <w:rPr>
          <w:sz w:val="26"/>
          <w:szCs w:val="20"/>
        </w:rPr>
        <w:t>.0</w:t>
      </w:r>
      <w:r>
        <w:rPr>
          <w:sz w:val="26"/>
          <w:szCs w:val="20"/>
        </w:rPr>
        <w:t>5</w:t>
      </w:r>
      <w:r w:rsidRPr="001B2EDE">
        <w:rPr>
          <w:sz w:val="26"/>
          <w:szCs w:val="20"/>
        </w:rPr>
        <w:t>.201</w:t>
      </w:r>
      <w:r>
        <w:rPr>
          <w:sz w:val="26"/>
          <w:szCs w:val="20"/>
        </w:rPr>
        <w:t>5</w:t>
      </w:r>
      <w:r w:rsidRPr="002909EB">
        <w:rPr>
          <w:sz w:val="26"/>
          <w:szCs w:val="20"/>
        </w:rPr>
        <w:t xml:space="preserve">) </w:t>
      </w:r>
      <w:r>
        <w:rPr>
          <w:sz w:val="26"/>
          <w:szCs w:val="20"/>
        </w:rPr>
        <w:t>изменение, и</w:t>
      </w:r>
      <w:r w:rsidRPr="002909EB">
        <w:rPr>
          <w:sz w:val="26"/>
          <w:szCs w:val="20"/>
        </w:rPr>
        <w:t>зложи</w:t>
      </w:r>
      <w:r>
        <w:rPr>
          <w:sz w:val="26"/>
          <w:szCs w:val="20"/>
        </w:rPr>
        <w:t>в п</w:t>
      </w:r>
      <w:r w:rsidRPr="002909EB">
        <w:rPr>
          <w:sz w:val="26"/>
        </w:rPr>
        <w:t xml:space="preserve">риложение № </w:t>
      </w:r>
      <w:r>
        <w:rPr>
          <w:sz w:val="26"/>
        </w:rPr>
        <w:t>2 к постановлению</w:t>
      </w:r>
      <w:r w:rsidRPr="002909EB">
        <w:rPr>
          <w:sz w:val="26"/>
        </w:rPr>
        <w:t xml:space="preserve"> в </w:t>
      </w:r>
      <w:r>
        <w:rPr>
          <w:sz w:val="26"/>
        </w:rPr>
        <w:t xml:space="preserve">новой </w:t>
      </w:r>
      <w:r w:rsidRPr="002909EB">
        <w:rPr>
          <w:sz w:val="26"/>
        </w:rPr>
        <w:t>редакции</w:t>
      </w:r>
      <w:r>
        <w:rPr>
          <w:sz w:val="26"/>
        </w:rPr>
        <w:t xml:space="preserve"> (Приложение).</w:t>
      </w:r>
      <w:r w:rsidRPr="004E1ADF">
        <w:rPr>
          <w:sz w:val="26"/>
        </w:rPr>
        <w:t xml:space="preserve"> </w:t>
      </w:r>
    </w:p>
    <w:p w:rsidR="00DA0C6C" w:rsidRPr="004E1ADF" w:rsidRDefault="00DA0C6C" w:rsidP="00DA0C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ADF">
        <w:rPr>
          <w:sz w:val="26"/>
          <w:szCs w:val="26"/>
        </w:rPr>
        <w:t>2.</w:t>
      </w:r>
      <w:r w:rsidRPr="004E1ADF">
        <w:rPr>
          <w:sz w:val="26"/>
          <w:szCs w:val="26"/>
        </w:rPr>
        <w:tab/>
        <w:t xml:space="preserve">Настоящее постановление вступает в силу с </w:t>
      </w:r>
      <w:r w:rsidRPr="00DA0C6C">
        <w:rPr>
          <w:sz w:val="26"/>
          <w:szCs w:val="26"/>
        </w:rPr>
        <w:t>15</w:t>
      </w:r>
      <w:r w:rsidRPr="004E1ADF">
        <w:rPr>
          <w:sz w:val="26"/>
          <w:szCs w:val="26"/>
        </w:rPr>
        <w:t>.06.2015 и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>
      <w:pPr>
        <w:sectPr w:rsidR="00DA0C6C" w:rsidSect="00DC4BC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DA0C6C" w:rsidRDefault="00DA0C6C" w:rsidP="00DA0C6C">
      <w:pPr>
        <w:tabs>
          <w:tab w:val="num" w:pos="1276"/>
        </w:tabs>
        <w:ind w:left="709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DA0C6C" w:rsidRDefault="00DA0C6C" w:rsidP="00DA0C6C">
      <w:pPr>
        <w:tabs>
          <w:tab w:val="num" w:pos="1276"/>
        </w:tabs>
        <w:ind w:left="709"/>
        <w:jc w:val="right"/>
        <w:rPr>
          <w:sz w:val="26"/>
          <w:szCs w:val="20"/>
        </w:rPr>
      </w:pPr>
      <w:r>
        <w:rPr>
          <w:sz w:val="26"/>
        </w:rPr>
        <w:t xml:space="preserve">к постановлению </w:t>
      </w:r>
      <w:r w:rsidRPr="002909EB">
        <w:rPr>
          <w:sz w:val="26"/>
          <w:szCs w:val="20"/>
        </w:rPr>
        <w:t>Администрации</w:t>
      </w:r>
    </w:p>
    <w:p w:rsidR="00DA0C6C" w:rsidRDefault="00DA0C6C" w:rsidP="00DA0C6C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 xml:space="preserve"> МО "</w:t>
      </w:r>
      <w:r>
        <w:rPr>
          <w:sz w:val="26"/>
          <w:szCs w:val="20"/>
        </w:rPr>
        <w:t>Городской округ</w:t>
      </w:r>
      <w:r w:rsidRPr="002909EB">
        <w:rPr>
          <w:sz w:val="26"/>
          <w:szCs w:val="20"/>
        </w:rPr>
        <w:t xml:space="preserve"> "Город Нарьян-Мар"</w:t>
      </w:r>
    </w:p>
    <w:p w:rsidR="00DA0C6C" w:rsidRDefault="00DA0C6C" w:rsidP="00DA0C6C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 xml:space="preserve"> от </w:t>
      </w:r>
      <w:r>
        <w:rPr>
          <w:sz w:val="26"/>
          <w:szCs w:val="20"/>
        </w:rPr>
        <w:t>29</w:t>
      </w:r>
      <w:r w:rsidRPr="002909EB">
        <w:rPr>
          <w:sz w:val="26"/>
          <w:szCs w:val="20"/>
        </w:rPr>
        <w:t>.</w:t>
      </w:r>
      <w:r>
        <w:rPr>
          <w:sz w:val="26"/>
          <w:szCs w:val="20"/>
        </w:rPr>
        <w:t>05</w:t>
      </w:r>
      <w:r w:rsidRPr="002909EB">
        <w:rPr>
          <w:sz w:val="26"/>
          <w:szCs w:val="20"/>
        </w:rPr>
        <w:t>.20</w:t>
      </w:r>
      <w:r>
        <w:rPr>
          <w:sz w:val="26"/>
          <w:szCs w:val="20"/>
        </w:rPr>
        <w:t>15</w:t>
      </w:r>
      <w:r w:rsidRPr="002909EB">
        <w:rPr>
          <w:sz w:val="26"/>
          <w:szCs w:val="20"/>
        </w:rPr>
        <w:t xml:space="preserve"> № </w:t>
      </w:r>
      <w:r>
        <w:rPr>
          <w:sz w:val="26"/>
          <w:szCs w:val="20"/>
        </w:rPr>
        <w:t>667</w:t>
      </w:r>
    </w:p>
    <w:p w:rsidR="00DA0C6C" w:rsidRDefault="00DA0C6C" w:rsidP="00DA0C6C">
      <w:pPr>
        <w:tabs>
          <w:tab w:val="num" w:pos="1276"/>
        </w:tabs>
        <w:ind w:left="709"/>
        <w:rPr>
          <w:sz w:val="26"/>
        </w:rPr>
      </w:pPr>
    </w:p>
    <w:p w:rsidR="00DA0C6C" w:rsidRDefault="00DA0C6C" w:rsidP="00DA0C6C">
      <w:pPr>
        <w:tabs>
          <w:tab w:val="num" w:pos="1276"/>
        </w:tabs>
        <w:ind w:left="709"/>
        <w:jc w:val="right"/>
        <w:rPr>
          <w:sz w:val="26"/>
        </w:rPr>
      </w:pPr>
      <w:r>
        <w:rPr>
          <w:sz w:val="26"/>
        </w:rPr>
        <w:t>"Приложение № 2</w:t>
      </w:r>
    </w:p>
    <w:p w:rsidR="00DA0C6C" w:rsidRDefault="00DA0C6C" w:rsidP="00DA0C6C">
      <w:pPr>
        <w:tabs>
          <w:tab w:val="num" w:pos="1276"/>
        </w:tabs>
        <w:ind w:left="709"/>
        <w:jc w:val="right"/>
        <w:rPr>
          <w:sz w:val="26"/>
          <w:szCs w:val="20"/>
        </w:rPr>
      </w:pPr>
      <w:r>
        <w:rPr>
          <w:sz w:val="26"/>
        </w:rPr>
        <w:t xml:space="preserve">к постановлению </w:t>
      </w:r>
      <w:r w:rsidRPr="002909EB">
        <w:rPr>
          <w:sz w:val="26"/>
          <w:szCs w:val="20"/>
        </w:rPr>
        <w:t>Администрации</w:t>
      </w:r>
    </w:p>
    <w:p w:rsidR="00DA0C6C" w:rsidRDefault="00DA0C6C" w:rsidP="00DA0C6C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 xml:space="preserve"> МО "</w:t>
      </w:r>
      <w:r>
        <w:rPr>
          <w:sz w:val="26"/>
          <w:szCs w:val="20"/>
        </w:rPr>
        <w:t>Городской округ</w:t>
      </w:r>
      <w:r w:rsidRPr="002909EB">
        <w:rPr>
          <w:sz w:val="26"/>
          <w:szCs w:val="20"/>
        </w:rPr>
        <w:t xml:space="preserve"> "Город Нарьян-Мар"</w:t>
      </w:r>
    </w:p>
    <w:p w:rsidR="00DA0C6C" w:rsidRPr="00047B7F" w:rsidRDefault="00DA0C6C" w:rsidP="00DA0C6C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 xml:space="preserve"> от </w:t>
      </w:r>
      <w:r w:rsidRPr="00047B7F">
        <w:rPr>
          <w:sz w:val="26"/>
          <w:szCs w:val="20"/>
        </w:rPr>
        <w:t>25</w:t>
      </w:r>
      <w:r w:rsidRPr="002909EB">
        <w:rPr>
          <w:sz w:val="26"/>
          <w:szCs w:val="20"/>
        </w:rPr>
        <w:t>.</w:t>
      </w:r>
      <w:r w:rsidRPr="00047B7F">
        <w:rPr>
          <w:sz w:val="26"/>
          <w:szCs w:val="20"/>
        </w:rPr>
        <w:t>11</w:t>
      </w:r>
      <w:r w:rsidRPr="002909EB">
        <w:rPr>
          <w:sz w:val="26"/>
          <w:szCs w:val="20"/>
        </w:rPr>
        <w:t>.20</w:t>
      </w:r>
      <w:r w:rsidRPr="00047B7F">
        <w:rPr>
          <w:sz w:val="26"/>
          <w:szCs w:val="20"/>
        </w:rPr>
        <w:t>08</w:t>
      </w:r>
      <w:r w:rsidRPr="002909EB">
        <w:rPr>
          <w:sz w:val="26"/>
          <w:szCs w:val="20"/>
        </w:rPr>
        <w:t xml:space="preserve"> № </w:t>
      </w:r>
      <w:r w:rsidRPr="00047B7F">
        <w:rPr>
          <w:sz w:val="26"/>
          <w:szCs w:val="20"/>
        </w:rPr>
        <w:t>1867</w:t>
      </w:r>
    </w:p>
    <w:p w:rsidR="00DA0C6C" w:rsidRDefault="00DA0C6C" w:rsidP="00DA0C6C">
      <w:pPr>
        <w:tabs>
          <w:tab w:val="num" w:pos="1276"/>
        </w:tabs>
        <w:ind w:left="709"/>
        <w:rPr>
          <w:sz w:val="26"/>
        </w:rPr>
      </w:pPr>
    </w:p>
    <w:p w:rsidR="00DA0C6C" w:rsidRDefault="00DA0C6C" w:rsidP="00DA0C6C">
      <w:pPr>
        <w:tabs>
          <w:tab w:val="num" w:pos="1276"/>
        </w:tabs>
        <w:jc w:val="center"/>
        <w:rPr>
          <w:rStyle w:val="af3"/>
          <w:b/>
          <w:sz w:val="28"/>
          <w:szCs w:val="28"/>
        </w:rPr>
      </w:pPr>
      <w:r>
        <w:rPr>
          <w:rStyle w:val="af3"/>
          <w:b/>
          <w:sz w:val="28"/>
          <w:szCs w:val="28"/>
        </w:rPr>
        <w:t>РАСПИСАНИЕ  ДВИЖЕНИЯ  АВТОБУСОВ,</w:t>
      </w:r>
    </w:p>
    <w:p w:rsidR="00DA0C6C" w:rsidRDefault="00DA0C6C" w:rsidP="00DA0C6C">
      <w:pPr>
        <w:tabs>
          <w:tab w:val="num" w:pos="1276"/>
        </w:tabs>
        <w:jc w:val="center"/>
        <w:rPr>
          <w:sz w:val="26"/>
        </w:rPr>
      </w:pPr>
      <w:proofErr w:type="gramStart"/>
      <w:r>
        <w:rPr>
          <w:rStyle w:val="af3"/>
          <w:b/>
          <w:sz w:val="28"/>
          <w:szCs w:val="28"/>
        </w:rPr>
        <w:t>действующее</w:t>
      </w:r>
      <w:proofErr w:type="gramEnd"/>
      <w:r>
        <w:rPr>
          <w:rStyle w:val="af3"/>
          <w:b/>
          <w:sz w:val="28"/>
          <w:szCs w:val="28"/>
        </w:rPr>
        <w:t xml:space="preserve"> с 1 июня по 31 августа</w:t>
      </w:r>
    </w:p>
    <w:p w:rsidR="00DA0C6C" w:rsidRPr="00214E46" w:rsidRDefault="00DA0C6C" w:rsidP="00DA0C6C">
      <w:pPr>
        <w:tabs>
          <w:tab w:val="num" w:pos="1276"/>
        </w:tabs>
        <w:ind w:left="709"/>
        <w:jc w:val="both"/>
        <w:rPr>
          <w:sz w:val="20"/>
          <w:szCs w:val="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560"/>
        <w:gridCol w:w="347"/>
        <w:gridCol w:w="1813"/>
        <w:gridCol w:w="1512"/>
      </w:tblGrid>
      <w:tr w:rsidR="00DA0C6C" w:rsidRPr="00214E46" w:rsidTr="00CF612C">
        <w:trPr>
          <w:cantSplit/>
        </w:trPr>
        <w:tc>
          <w:tcPr>
            <w:tcW w:w="3480" w:type="dxa"/>
            <w:gridSpan w:val="2"/>
          </w:tcPr>
          <w:p w:rsidR="00DA0C6C" w:rsidRPr="00214E46" w:rsidRDefault="00DA0C6C" w:rsidP="00CF612C">
            <w:pPr>
              <w:ind w:left="36"/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2</w:t>
            </w:r>
          </w:p>
          <w:p w:rsidR="00DA0C6C" w:rsidRPr="00214E46" w:rsidRDefault="00DA0C6C" w:rsidP="00CF612C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Будни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bCs/>
              </w:rPr>
            </w:pPr>
          </w:p>
        </w:tc>
        <w:tc>
          <w:tcPr>
            <w:tcW w:w="3325" w:type="dxa"/>
            <w:gridSpan w:val="2"/>
          </w:tcPr>
          <w:p w:rsidR="00DA0C6C" w:rsidRPr="00214E46" w:rsidRDefault="00DA0C6C" w:rsidP="00CF612C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2</w:t>
            </w:r>
          </w:p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  <w:bCs/>
              </w:rPr>
            </w:pPr>
            <w:r w:rsidRPr="00214E46">
              <w:rPr>
                <w:b/>
                <w:bCs/>
              </w:rPr>
              <w:t xml:space="preserve">Суббота, </w:t>
            </w:r>
            <w:r>
              <w:rPr>
                <w:b/>
                <w:bCs/>
              </w:rPr>
              <w:t>в</w:t>
            </w:r>
            <w:r w:rsidRPr="00214E46">
              <w:rPr>
                <w:b/>
                <w:bCs/>
              </w:rPr>
              <w:t>оскресенье</w:t>
            </w:r>
          </w:p>
        </w:tc>
      </w:tr>
      <w:tr w:rsidR="00DA0C6C" w:rsidRPr="00214E46" w:rsidTr="00CF612C">
        <w:tc>
          <w:tcPr>
            <w:tcW w:w="1920" w:type="dxa"/>
            <w:vAlign w:val="center"/>
          </w:tcPr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</w:rPr>
            </w:pPr>
            <w:r w:rsidRPr="00214E46">
              <w:rPr>
                <w:b/>
              </w:rPr>
              <w:t>Морской порт</w:t>
            </w:r>
          </w:p>
        </w:tc>
        <w:tc>
          <w:tcPr>
            <w:tcW w:w="1560" w:type="dxa"/>
            <w:vAlign w:val="center"/>
          </w:tcPr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</w:rPr>
            </w:pPr>
            <w:r>
              <w:rPr>
                <w:b/>
              </w:rPr>
              <w:t>у</w:t>
            </w:r>
            <w:r w:rsidRPr="00214E46">
              <w:rPr>
                <w:b/>
              </w:rPr>
              <w:t>л. Ленина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</w:pPr>
          </w:p>
        </w:tc>
        <w:tc>
          <w:tcPr>
            <w:tcW w:w="1813" w:type="dxa"/>
          </w:tcPr>
          <w:p w:rsidR="00DA0C6C" w:rsidRPr="00214E46" w:rsidRDefault="00DA0C6C" w:rsidP="00CF612C">
            <w:pPr>
              <w:jc w:val="center"/>
              <w:rPr>
                <w:b/>
              </w:rPr>
            </w:pPr>
            <w:r w:rsidRPr="00214E46">
              <w:rPr>
                <w:b/>
              </w:rPr>
              <w:t>Морской порт</w:t>
            </w:r>
          </w:p>
        </w:tc>
        <w:tc>
          <w:tcPr>
            <w:tcW w:w="1512" w:type="dxa"/>
          </w:tcPr>
          <w:p w:rsidR="00DA0C6C" w:rsidRPr="00214E46" w:rsidRDefault="00DA0C6C" w:rsidP="00CF612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214E46">
              <w:rPr>
                <w:b/>
              </w:rPr>
              <w:t>л. Ленина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Pr="00214E46" w:rsidRDefault="00DA0C6C" w:rsidP="00CF612C">
            <w:pPr>
              <w:rPr>
                <w:vertAlign w:val="superscript"/>
              </w:rPr>
            </w:pPr>
            <w:r>
              <w:t xml:space="preserve">  7 </w:t>
            </w:r>
            <w:r>
              <w:rPr>
                <w:vertAlign w:val="superscript"/>
                <w:lang w:val="en-US"/>
              </w:rPr>
              <w:t>15,4</w:t>
            </w:r>
            <w:r>
              <w:rPr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DA0C6C" w:rsidRPr="00214E46" w:rsidRDefault="00DA0C6C" w:rsidP="00CF612C">
            <w:pPr>
              <w:rPr>
                <w:b/>
              </w:rPr>
            </w:pPr>
            <w:r>
              <w:t xml:space="preserve">  7 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Pr="00214E46" w:rsidRDefault="00DA0C6C" w:rsidP="00CF612C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A0C6C" w:rsidRPr="00214E46" w:rsidRDefault="00DA0C6C" w:rsidP="00CF612C">
            <w:pPr>
              <w:jc w:val="center"/>
              <w:rPr>
                <w:b/>
              </w:rPr>
            </w:pP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00,15,30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45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30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00,30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00,30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00,15,</w:t>
            </w:r>
            <w:r>
              <w:rPr>
                <w:vertAlign w:val="superscript"/>
                <w:lang w:val="en-US"/>
              </w:rPr>
              <w:t>30,</w:t>
            </w:r>
            <w:r>
              <w:rPr>
                <w:vertAlign w:val="superscript"/>
              </w:rPr>
              <w:t>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00,15,30,45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00,30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>13 </w:t>
            </w:r>
            <w:r>
              <w:rPr>
                <w:vertAlign w:val="superscript"/>
              </w:rPr>
              <w:t>00,15,</w:t>
            </w:r>
            <w:r>
              <w:rPr>
                <w:vertAlign w:val="superscript"/>
                <w:lang w:val="en-US"/>
              </w:rPr>
              <w:t>30,</w:t>
            </w:r>
            <w:r>
              <w:rPr>
                <w:vertAlign w:val="superscript"/>
              </w:rPr>
              <w:t>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00,30,45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>13 </w:t>
            </w:r>
            <w:r>
              <w:rPr>
                <w:vertAlign w:val="superscript"/>
              </w:rPr>
              <w:t>15,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00,45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15,45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15,45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15,45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17 </w:t>
            </w:r>
            <w:r>
              <w:rPr>
                <w:vertAlign w:val="superscript"/>
              </w:rPr>
              <w:t>15,30,45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>17</w:t>
            </w:r>
            <w:r>
              <w:rPr>
                <w:vertAlign w:val="superscript"/>
              </w:rPr>
              <w:t xml:space="preserve"> 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>17</w:t>
            </w:r>
            <w:r>
              <w:rPr>
                <w:vertAlign w:val="superscript"/>
              </w:rPr>
              <w:t xml:space="preserve"> 00,30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17 </w:t>
            </w:r>
            <w:r>
              <w:rPr>
                <w:vertAlign w:val="superscript"/>
              </w:rPr>
              <w:t>15,45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15,30,45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15,45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15,30,45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00,17,30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15,45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20 </w:t>
            </w:r>
            <w:r>
              <w:rPr>
                <w:vertAlign w:val="superscript"/>
              </w:rPr>
              <w:t>15</w:t>
            </w:r>
          </w:p>
        </w:tc>
        <w:tc>
          <w:tcPr>
            <w:tcW w:w="1560" w:type="dxa"/>
          </w:tcPr>
          <w:p w:rsidR="00DA0C6C" w:rsidRDefault="00DA0C6C" w:rsidP="00CF612C">
            <w:pPr>
              <w:jc w:val="both"/>
            </w:pPr>
            <w:r>
              <w:t xml:space="preserve">20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DA0C6C" w:rsidRDefault="00DA0C6C" w:rsidP="00CF612C">
            <w:pPr>
              <w:jc w:val="both"/>
            </w:pPr>
            <w:r>
              <w:t xml:space="preserve">20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20 </w:t>
            </w:r>
            <w:r>
              <w:rPr>
                <w:vertAlign w:val="superscript"/>
              </w:rPr>
              <w:t>15,45</w:t>
            </w:r>
          </w:p>
        </w:tc>
      </w:tr>
    </w:tbl>
    <w:p w:rsidR="00DA0C6C" w:rsidRPr="00214E46" w:rsidRDefault="00DA0C6C" w:rsidP="00DA0C6C">
      <w:pPr>
        <w:jc w:val="center"/>
        <w:rPr>
          <w:sz w:val="20"/>
          <w:szCs w:val="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573"/>
        <w:gridCol w:w="347"/>
        <w:gridCol w:w="1800"/>
        <w:gridCol w:w="1512"/>
      </w:tblGrid>
      <w:tr w:rsidR="00DA0C6C" w:rsidRPr="00214E46" w:rsidTr="00CF612C">
        <w:trPr>
          <w:cantSplit/>
        </w:trPr>
        <w:tc>
          <w:tcPr>
            <w:tcW w:w="3493" w:type="dxa"/>
            <w:gridSpan w:val="2"/>
          </w:tcPr>
          <w:p w:rsidR="00DA0C6C" w:rsidRPr="00214E46" w:rsidRDefault="00DA0C6C" w:rsidP="00CF612C">
            <w:pPr>
              <w:ind w:left="36"/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4</w:t>
            </w:r>
          </w:p>
          <w:p w:rsidR="00DA0C6C" w:rsidRPr="00214E46" w:rsidRDefault="00DA0C6C" w:rsidP="00CF612C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Будни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bCs/>
              </w:rPr>
            </w:pPr>
          </w:p>
        </w:tc>
        <w:tc>
          <w:tcPr>
            <w:tcW w:w="3312" w:type="dxa"/>
            <w:gridSpan w:val="2"/>
          </w:tcPr>
          <w:p w:rsidR="00DA0C6C" w:rsidRPr="00214E46" w:rsidRDefault="00DA0C6C" w:rsidP="00CF612C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4</w:t>
            </w:r>
          </w:p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  <w:bCs/>
              </w:rPr>
            </w:pPr>
            <w:r w:rsidRPr="00214E46">
              <w:rPr>
                <w:b/>
                <w:bCs/>
              </w:rPr>
              <w:t xml:space="preserve">Суббота, </w:t>
            </w:r>
            <w:r>
              <w:rPr>
                <w:b/>
                <w:bCs/>
              </w:rPr>
              <w:t>в</w:t>
            </w:r>
            <w:r w:rsidRPr="00214E46">
              <w:rPr>
                <w:b/>
                <w:bCs/>
              </w:rPr>
              <w:t>оскресенье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</w:rPr>
            </w:pPr>
            <w:r w:rsidRPr="00214E46">
              <w:rPr>
                <w:b/>
              </w:rPr>
              <w:t>Морской порт</w:t>
            </w:r>
          </w:p>
        </w:tc>
        <w:tc>
          <w:tcPr>
            <w:tcW w:w="1573" w:type="dxa"/>
          </w:tcPr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</w:rPr>
            </w:pPr>
            <w:r w:rsidRPr="00214E46">
              <w:rPr>
                <w:b/>
              </w:rPr>
              <w:t>Аэропорт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</w:pPr>
          </w:p>
        </w:tc>
        <w:tc>
          <w:tcPr>
            <w:tcW w:w="1800" w:type="dxa"/>
          </w:tcPr>
          <w:p w:rsidR="00DA0C6C" w:rsidRPr="00214E46" w:rsidRDefault="00DA0C6C" w:rsidP="00CF612C">
            <w:pPr>
              <w:jc w:val="center"/>
              <w:rPr>
                <w:b/>
              </w:rPr>
            </w:pPr>
            <w:r w:rsidRPr="00214E46">
              <w:rPr>
                <w:b/>
              </w:rPr>
              <w:t>Морской порт</w:t>
            </w:r>
          </w:p>
        </w:tc>
        <w:tc>
          <w:tcPr>
            <w:tcW w:w="1512" w:type="dxa"/>
          </w:tcPr>
          <w:p w:rsidR="00DA0C6C" w:rsidRPr="00214E46" w:rsidRDefault="00DA0C6C" w:rsidP="00CF612C">
            <w:pPr>
              <w:jc w:val="center"/>
              <w:rPr>
                <w:b/>
              </w:rPr>
            </w:pPr>
            <w:r w:rsidRPr="00214E46">
              <w:rPr>
                <w:b/>
              </w:rPr>
              <w:t>Аэропорт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Pr="00214E46" w:rsidRDefault="00DA0C6C" w:rsidP="00CF612C">
            <w:pPr>
              <w:keepNext/>
              <w:outlineLvl w:val="7"/>
              <w:rPr>
                <w:b/>
              </w:rPr>
            </w:pPr>
            <w:r>
              <w:t xml:space="preserve">  6 </w:t>
            </w:r>
            <w:r>
              <w:rPr>
                <w:vertAlign w:val="superscript"/>
              </w:rPr>
              <w:t>10</w:t>
            </w:r>
          </w:p>
        </w:tc>
        <w:tc>
          <w:tcPr>
            <w:tcW w:w="1573" w:type="dxa"/>
          </w:tcPr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</w:pPr>
          </w:p>
        </w:tc>
        <w:tc>
          <w:tcPr>
            <w:tcW w:w="1800" w:type="dxa"/>
          </w:tcPr>
          <w:p w:rsidR="00DA0C6C" w:rsidRPr="00214E46" w:rsidRDefault="00DA0C6C" w:rsidP="00CF612C">
            <w:pPr>
              <w:rPr>
                <w:b/>
              </w:rPr>
            </w:pPr>
            <w:r>
              <w:t xml:space="preserve">  6 </w:t>
            </w:r>
            <w:r>
              <w:rPr>
                <w:vertAlign w:val="superscript"/>
              </w:rPr>
              <w:t>10</w:t>
            </w:r>
          </w:p>
        </w:tc>
        <w:tc>
          <w:tcPr>
            <w:tcW w:w="1512" w:type="dxa"/>
          </w:tcPr>
          <w:p w:rsidR="00DA0C6C" w:rsidRPr="00214E46" w:rsidRDefault="00DA0C6C" w:rsidP="00CF612C">
            <w:pPr>
              <w:rPr>
                <w:b/>
              </w:rPr>
            </w:pPr>
            <w:r>
              <w:t xml:space="preserve">  6 </w:t>
            </w:r>
            <w:r>
              <w:rPr>
                <w:vertAlign w:val="superscript"/>
              </w:rPr>
              <w:t>25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00,40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  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00,25,40</w:t>
            </w: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05,20,45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  <w:r>
              <w:t> 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40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00,55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Pr="00047A64" w:rsidRDefault="00DA0C6C" w:rsidP="00CF612C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00</w:t>
            </w:r>
            <w:r>
              <w:rPr>
                <w:vertAlign w:val="superscript"/>
                <w:lang w:val="en-US"/>
              </w:rPr>
              <w:t>,40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  9 </w:t>
            </w:r>
            <w:r>
              <w:rPr>
                <w:vertAlign w:val="superscript"/>
              </w:rPr>
              <w:t>20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10,30</w:t>
            </w:r>
          </w:p>
        </w:tc>
        <w:tc>
          <w:tcPr>
            <w:tcW w:w="1573" w:type="dxa"/>
          </w:tcPr>
          <w:p w:rsidR="00DA0C6C" w:rsidRPr="0037512F" w:rsidRDefault="00DA0C6C" w:rsidP="00CF612C">
            <w:pPr>
              <w:jc w:val="both"/>
              <w:rPr>
                <w:lang w:val="en-US"/>
              </w:rPr>
            </w:pPr>
            <w:r>
              <w:t xml:space="preserve">10 </w:t>
            </w:r>
            <w:r>
              <w:rPr>
                <w:vertAlign w:val="superscript"/>
                <w:lang w:val="en-US"/>
              </w:rPr>
              <w:t>15</w:t>
            </w:r>
            <w:r>
              <w:rPr>
                <w:vertAlign w:val="superscript"/>
              </w:rPr>
              <w:t>,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40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Pr="0037512F" w:rsidRDefault="00DA0C6C" w:rsidP="00CF612C">
            <w:pPr>
              <w:jc w:val="both"/>
              <w:rPr>
                <w:lang w:val="en-US"/>
              </w:rPr>
            </w:pPr>
            <w:r>
              <w:t xml:space="preserve">11 </w:t>
            </w:r>
            <w:r>
              <w:rPr>
                <w:vertAlign w:val="superscript"/>
              </w:rPr>
              <w:t>10,</w:t>
            </w:r>
            <w:r>
              <w:rPr>
                <w:vertAlign w:val="superscript"/>
                <w:lang w:val="en-US"/>
              </w:rPr>
              <w:t>46</w:t>
            </w: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28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20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Pr="0037512F" w:rsidRDefault="00DA0C6C" w:rsidP="00CF612C">
            <w:pPr>
              <w:jc w:val="both"/>
              <w:rPr>
                <w:lang w:val="en-US"/>
              </w:rPr>
            </w:pPr>
            <w:r>
              <w:t xml:space="preserve">12 </w:t>
            </w:r>
            <w:r>
              <w:rPr>
                <w:vertAlign w:val="superscript"/>
                <w:lang w:val="en-US"/>
              </w:rPr>
              <w:t>22</w:t>
            </w:r>
            <w:r>
              <w:rPr>
                <w:vertAlign w:val="superscript"/>
              </w:rPr>
              <w:t>,5</w:t>
            </w:r>
            <w:r>
              <w:rPr>
                <w:vertAlign w:val="superscript"/>
                <w:lang w:val="en-US"/>
              </w:rPr>
              <w:t>8</w:t>
            </w: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04,40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20,46</w:t>
            </w: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00,28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40</w:t>
            </w:r>
            <w:r>
              <w:t> 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04,28,40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00,25,40</w:t>
            </w:r>
          </w:p>
        </w:tc>
        <w:tc>
          <w:tcPr>
            <w:tcW w:w="1573" w:type="dxa"/>
          </w:tcPr>
          <w:p w:rsidR="00DA0C6C" w:rsidRPr="005F7851" w:rsidRDefault="00DA0C6C" w:rsidP="00CF612C">
            <w:pPr>
              <w:jc w:val="both"/>
              <w:rPr>
                <w:vertAlign w:val="superscript"/>
              </w:rPr>
            </w:pPr>
            <w:r>
              <w:t xml:space="preserve">15 </w:t>
            </w:r>
            <w:r>
              <w:rPr>
                <w:vertAlign w:val="superscript"/>
              </w:rPr>
              <w:t>20,28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40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20,58</w:t>
            </w: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00,40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>17</w:t>
            </w:r>
            <w:r>
              <w:rPr>
                <w:vertAlign w:val="superscript"/>
              </w:rPr>
              <w:t xml:space="preserve"> 35</w:t>
            </w: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>17</w:t>
            </w:r>
            <w:r>
              <w:rPr>
                <w:vertAlign w:val="superscript"/>
              </w:rPr>
              <w:t xml:space="preserve"> 16,55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  <w:r>
              <w:t>17</w:t>
            </w:r>
            <w:r>
              <w:rPr>
                <w:vertAlign w:val="superscript"/>
              </w:rPr>
              <w:t xml:space="preserve"> 20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>17 </w:t>
            </w:r>
            <w:r>
              <w:rPr>
                <w:vertAlign w:val="superscript"/>
              </w:rPr>
              <w:t>00,40</w:t>
            </w:r>
            <w:r>
              <w:t> </w:t>
            </w: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15,52</w:t>
            </w: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34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</w:p>
        </w:tc>
      </w:tr>
      <w:tr w:rsidR="00DA0C6C" w:rsidRPr="00214E46" w:rsidTr="00CF612C">
        <w:tc>
          <w:tcPr>
            <w:tcW w:w="1920" w:type="dxa"/>
          </w:tcPr>
          <w:p w:rsidR="00DA0C6C" w:rsidRDefault="00DA0C6C" w:rsidP="00CF612C">
            <w:pPr>
              <w:jc w:val="both"/>
            </w:pPr>
          </w:p>
        </w:tc>
        <w:tc>
          <w:tcPr>
            <w:tcW w:w="1573" w:type="dxa"/>
          </w:tcPr>
          <w:p w:rsidR="00DA0C6C" w:rsidRDefault="00DA0C6C" w:rsidP="00CF612C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10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DA0C6C" w:rsidRDefault="00DA0C6C" w:rsidP="00CF612C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52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34</w:t>
            </w:r>
          </w:p>
        </w:tc>
      </w:tr>
    </w:tbl>
    <w:p w:rsidR="00DA0C6C" w:rsidRDefault="00DA0C6C" w:rsidP="00DA0C6C">
      <w:pPr>
        <w:rPr>
          <w:sz w:val="20"/>
          <w:szCs w:val="6"/>
        </w:rPr>
      </w:pPr>
    </w:p>
    <w:p w:rsidR="00DA0C6C" w:rsidRPr="00214E46" w:rsidRDefault="00DA0C6C" w:rsidP="00DA0C6C">
      <w:pPr>
        <w:rPr>
          <w:sz w:val="20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5"/>
        <w:gridCol w:w="1512"/>
        <w:gridCol w:w="347"/>
        <w:gridCol w:w="1615"/>
        <w:gridCol w:w="1512"/>
      </w:tblGrid>
      <w:tr w:rsidR="00DA0C6C" w:rsidRPr="00214E46" w:rsidTr="00CF612C">
        <w:trPr>
          <w:cantSplit/>
        </w:trPr>
        <w:tc>
          <w:tcPr>
            <w:tcW w:w="3167" w:type="dxa"/>
            <w:gridSpan w:val="2"/>
          </w:tcPr>
          <w:p w:rsidR="00DA0C6C" w:rsidRPr="00214E46" w:rsidRDefault="00DA0C6C" w:rsidP="00CF612C">
            <w:pPr>
              <w:ind w:left="36"/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lastRenderedPageBreak/>
              <w:t>Маршрут № 4</w:t>
            </w:r>
            <w:r>
              <w:rPr>
                <w:b/>
                <w:bCs/>
              </w:rPr>
              <w:t>а</w:t>
            </w:r>
          </w:p>
          <w:p w:rsidR="00DA0C6C" w:rsidRPr="00214E46" w:rsidRDefault="00DA0C6C" w:rsidP="00CF612C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Будни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bCs/>
              </w:rPr>
            </w:pPr>
          </w:p>
        </w:tc>
        <w:tc>
          <w:tcPr>
            <w:tcW w:w="3127" w:type="dxa"/>
            <w:gridSpan w:val="2"/>
          </w:tcPr>
          <w:p w:rsidR="00DA0C6C" w:rsidRPr="00214E46" w:rsidRDefault="00DA0C6C" w:rsidP="00CF612C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4</w:t>
            </w:r>
            <w:r>
              <w:rPr>
                <w:b/>
                <w:bCs/>
              </w:rPr>
              <w:t>а</w:t>
            </w:r>
          </w:p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  <w:bCs/>
              </w:rPr>
            </w:pPr>
            <w:r w:rsidRPr="00214E46">
              <w:rPr>
                <w:b/>
                <w:bCs/>
              </w:rPr>
              <w:t xml:space="preserve">Суббота, </w:t>
            </w:r>
            <w:r>
              <w:rPr>
                <w:b/>
                <w:bCs/>
              </w:rPr>
              <w:t>в</w:t>
            </w:r>
            <w:r w:rsidRPr="00214E46">
              <w:rPr>
                <w:b/>
                <w:bCs/>
              </w:rPr>
              <w:t>оскресенье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</w:rPr>
            </w:pPr>
            <w:r>
              <w:rPr>
                <w:b/>
                <w:szCs w:val="6"/>
              </w:rPr>
              <w:t>у</w:t>
            </w:r>
            <w:r w:rsidRPr="00214E46">
              <w:rPr>
                <w:b/>
                <w:szCs w:val="6"/>
              </w:rPr>
              <w:t>л. Ленина</w:t>
            </w:r>
          </w:p>
        </w:tc>
        <w:tc>
          <w:tcPr>
            <w:tcW w:w="1512" w:type="dxa"/>
          </w:tcPr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</w:rPr>
            </w:pPr>
            <w:r w:rsidRPr="00214E46">
              <w:rPr>
                <w:b/>
              </w:rPr>
              <w:t>Аэропорт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</w:pPr>
          </w:p>
        </w:tc>
        <w:tc>
          <w:tcPr>
            <w:tcW w:w="1615" w:type="dxa"/>
          </w:tcPr>
          <w:p w:rsidR="00DA0C6C" w:rsidRPr="00214E46" w:rsidRDefault="00DA0C6C" w:rsidP="00CF612C">
            <w:pPr>
              <w:jc w:val="center"/>
              <w:rPr>
                <w:b/>
              </w:rPr>
            </w:pPr>
            <w:r>
              <w:rPr>
                <w:b/>
                <w:szCs w:val="6"/>
              </w:rPr>
              <w:t>у</w:t>
            </w:r>
            <w:r w:rsidRPr="00214E46">
              <w:rPr>
                <w:b/>
                <w:szCs w:val="6"/>
              </w:rPr>
              <w:t>л. Ленина</w:t>
            </w:r>
          </w:p>
        </w:tc>
        <w:tc>
          <w:tcPr>
            <w:tcW w:w="1512" w:type="dxa"/>
          </w:tcPr>
          <w:p w:rsidR="00DA0C6C" w:rsidRPr="00214E46" w:rsidRDefault="00DA0C6C" w:rsidP="00CF612C">
            <w:pPr>
              <w:jc w:val="center"/>
              <w:rPr>
                <w:b/>
              </w:rPr>
            </w:pPr>
            <w:r w:rsidRPr="00214E46">
              <w:rPr>
                <w:b/>
              </w:rPr>
              <w:t>Аэропорт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  6 </w:t>
            </w:r>
            <w:r>
              <w:rPr>
                <w:vertAlign w:val="superscript"/>
              </w:rPr>
              <w:t>50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  6 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Pr="00214E46" w:rsidRDefault="00DA0C6C" w:rsidP="00CF612C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45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10,55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  <w:r>
              <w:t xml:space="preserve">  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> 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15,55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35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00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35,56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15,38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  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46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28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  <w:r>
              <w:t xml:space="preserve"> 10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00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22,58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04,40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> 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34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16,52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20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Pr="005F7851" w:rsidRDefault="00DA0C6C" w:rsidP="00CF612C">
            <w:pPr>
              <w:jc w:val="both"/>
              <w:rPr>
                <w:lang w:val="en-US"/>
              </w:rPr>
            </w:pPr>
            <w:r>
              <w:t xml:space="preserve">13 </w:t>
            </w:r>
            <w:r>
              <w:rPr>
                <w:vertAlign w:val="superscript"/>
              </w:rPr>
              <w:t>10,34,</w:t>
            </w:r>
            <w:r>
              <w:rPr>
                <w:vertAlign w:val="superscript"/>
                <w:lang w:val="en-US"/>
              </w:rPr>
              <w:t>58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16,40,52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00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10,34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16,52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20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10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45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00</w:t>
            </w:r>
            <w:r>
              <w:t> 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04,40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22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20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17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17 </w:t>
            </w:r>
            <w:r>
              <w:rPr>
                <w:vertAlign w:val="superscript"/>
              </w:rPr>
              <w:t>00,40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00,40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20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 xml:space="preserve">40 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20,58</w:t>
            </w:r>
          </w:p>
        </w:tc>
      </w:tr>
      <w:tr w:rsidR="00DA0C6C" w:rsidRPr="00214E46" w:rsidTr="00CF612C">
        <w:tc>
          <w:tcPr>
            <w:tcW w:w="1655" w:type="dxa"/>
          </w:tcPr>
          <w:p w:rsidR="00DA0C6C" w:rsidRDefault="00DA0C6C" w:rsidP="00CF612C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50</w:t>
            </w:r>
          </w:p>
        </w:tc>
        <w:tc>
          <w:tcPr>
            <w:tcW w:w="1512" w:type="dxa"/>
          </w:tcPr>
          <w:p w:rsidR="00DA0C6C" w:rsidRDefault="00DA0C6C" w:rsidP="00CF612C">
            <w:pPr>
              <w:jc w:val="both"/>
            </w:pPr>
            <w:r>
              <w:t xml:space="preserve">20 </w:t>
            </w:r>
            <w:r>
              <w:rPr>
                <w:vertAlign w:val="superscript"/>
              </w:rPr>
              <w:t>10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A0C6C" w:rsidRPr="00214E46" w:rsidRDefault="00DA0C6C" w:rsidP="00CF612C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DA0C6C" w:rsidRDefault="00DA0C6C" w:rsidP="00CF612C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16</w:t>
            </w:r>
          </w:p>
        </w:tc>
        <w:tc>
          <w:tcPr>
            <w:tcW w:w="1512" w:type="dxa"/>
          </w:tcPr>
          <w:p w:rsidR="00DA0C6C" w:rsidRPr="00E26DF9" w:rsidRDefault="00DA0C6C" w:rsidP="00CF612C">
            <w:pPr>
              <w:jc w:val="both"/>
            </w:pPr>
            <w:r w:rsidRPr="00E26DF9">
              <w:t>20 </w:t>
            </w:r>
            <w:r w:rsidRPr="00E26DF9">
              <w:rPr>
                <w:vertAlign w:val="superscript"/>
              </w:rPr>
              <w:t>10</w:t>
            </w:r>
          </w:p>
        </w:tc>
      </w:tr>
    </w:tbl>
    <w:p w:rsidR="00DA0C6C" w:rsidRPr="00214E46" w:rsidRDefault="00DA0C6C" w:rsidP="00DA0C6C">
      <w:pPr>
        <w:rPr>
          <w:sz w:val="20"/>
          <w:szCs w:val="6"/>
        </w:rPr>
      </w:pPr>
    </w:p>
    <w:p w:rsidR="00DA0C6C" w:rsidRPr="00214E46" w:rsidRDefault="00DA0C6C" w:rsidP="00DA0C6C">
      <w:pPr>
        <w:rPr>
          <w:sz w:val="20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7"/>
        <w:gridCol w:w="2044"/>
        <w:gridCol w:w="908"/>
        <w:gridCol w:w="2363"/>
        <w:gridCol w:w="2220"/>
      </w:tblGrid>
      <w:tr w:rsidR="00DA0C6C" w:rsidRPr="00214E46" w:rsidTr="00CF612C">
        <w:trPr>
          <w:cantSplit/>
        </w:trPr>
        <w:tc>
          <w:tcPr>
            <w:tcW w:w="4221" w:type="dxa"/>
            <w:gridSpan w:val="2"/>
          </w:tcPr>
          <w:p w:rsidR="00DA0C6C" w:rsidRPr="00214E46" w:rsidRDefault="00DA0C6C" w:rsidP="00CF612C">
            <w:pPr>
              <w:jc w:val="center"/>
              <w:rPr>
                <w:b/>
                <w:bCs/>
                <w:szCs w:val="6"/>
              </w:rPr>
            </w:pPr>
            <w:r w:rsidRPr="00214E46">
              <w:rPr>
                <w:b/>
                <w:bCs/>
                <w:szCs w:val="6"/>
              </w:rPr>
              <w:t xml:space="preserve">Маршрут № </w:t>
            </w:r>
            <w:r>
              <w:rPr>
                <w:b/>
                <w:bCs/>
                <w:szCs w:val="6"/>
              </w:rPr>
              <w:t>6</w:t>
            </w:r>
          </w:p>
          <w:p w:rsidR="00DA0C6C" w:rsidRPr="00214E46" w:rsidRDefault="00DA0C6C" w:rsidP="00CF612C">
            <w:pPr>
              <w:jc w:val="center"/>
              <w:rPr>
                <w:b/>
                <w:bCs/>
                <w:szCs w:val="6"/>
              </w:rPr>
            </w:pPr>
            <w:r w:rsidRPr="00214E46">
              <w:rPr>
                <w:b/>
                <w:bCs/>
                <w:szCs w:val="6"/>
              </w:rPr>
              <w:t>Будни</w:t>
            </w:r>
          </w:p>
        </w:tc>
        <w:tc>
          <w:tcPr>
            <w:tcW w:w="908" w:type="dxa"/>
            <w:vMerge w:val="restart"/>
            <w:tcBorders>
              <w:top w:val="nil"/>
            </w:tcBorders>
          </w:tcPr>
          <w:p w:rsidR="00DA0C6C" w:rsidRPr="00214E46" w:rsidRDefault="00DA0C6C" w:rsidP="00CF612C">
            <w:pPr>
              <w:jc w:val="center"/>
              <w:rPr>
                <w:b/>
                <w:bCs/>
                <w:szCs w:val="6"/>
              </w:rPr>
            </w:pPr>
          </w:p>
        </w:tc>
        <w:tc>
          <w:tcPr>
            <w:tcW w:w="4583" w:type="dxa"/>
            <w:gridSpan w:val="2"/>
          </w:tcPr>
          <w:p w:rsidR="00DA0C6C" w:rsidRPr="00214E46" w:rsidRDefault="00DA0C6C" w:rsidP="00CF612C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8</w:t>
            </w:r>
          </w:p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  <w:bCs/>
              </w:rPr>
            </w:pPr>
            <w:r w:rsidRPr="00214E46">
              <w:rPr>
                <w:b/>
                <w:bCs/>
              </w:rPr>
              <w:t>Будни</w:t>
            </w:r>
          </w:p>
        </w:tc>
      </w:tr>
      <w:tr w:rsidR="00DA0C6C" w:rsidRPr="00214E46" w:rsidTr="00CF612C">
        <w:trPr>
          <w:cantSplit/>
        </w:trPr>
        <w:tc>
          <w:tcPr>
            <w:tcW w:w="2177" w:type="dxa"/>
          </w:tcPr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</w:rPr>
            </w:pPr>
            <w:r w:rsidRPr="00214E46">
              <w:rPr>
                <w:b/>
              </w:rPr>
              <w:t>п. Старый аэропорт</w:t>
            </w:r>
          </w:p>
        </w:tc>
        <w:tc>
          <w:tcPr>
            <w:tcW w:w="2044" w:type="dxa"/>
          </w:tcPr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  <w:szCs w:val="6"/>
              </w:rPr>
            </w:pPr>
            <w:r>
              <w:rPr>
                <w:b/>
                <w:szCs w:val="6"/>
              </w:rPr>
              <w:t>у</w:t>
            </w:r>
            <w:r w:rsidRPr="00214E46">
              <w:rPr>
                <w:b/>
                <w:szCs w:val="6"/>
              </w:rPr>
              <w:t>л. Ленина</w:t>
            </w:r>
          </w:p>
        </w:tc>
        <w:tc>
          <w:tcPr>
            <w:tcW w:w="908" w:type="dxa"/>
            <w:vMerge/>
          </w:tcPr>
          <w:p w:rsidR="00DA0C6C" w:rsidRPr="00214E46" w:rsidRDefault="00DA0C6C" w:rsidP="00CF612C">
            <w:pPr>
              <w:jc w:val="center"/>
              <w:rPr>
                <w:b/>
                <w:szCs w:val="6"/>
              </w:rPr>
            </w:pPr>
          </w:p>
        </w:tc>
        <w:tc>
          <w:tcPr>
            <w:tcW w:w="2363" w:type="dxa"/>
          </w:tcPr>
          <w:p w:rsidR="00DA0C6C" w:rsidRPr="00214E46" w:rsidRDefault="00DA0C6C" w:rsidP="00CF6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214E46">
              <w:rPr>
                <w:b/>
                <w:bCs/>
              </w:rPr>
              <w:t>л. Мира</w:t>
            </w:r>
          </w:p>
        </w:tc>
        <w:tc>
          <w:tcPr>
            <w:tcW w:w="2220" w:type="dxa"/>
          </w:tcPr>
          <w:p w:rsidR="00DA0C6C" w:rsidRPr="00214E46" w:rsidRDefault="00DA0C6C" w:rsidP="00CF612C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Морской порт</w:t>
            </w:r>
          </w:p>
        </w:tc>
      </w:tr>
      <w:tr w:rsidR="00DA0C6C" w:rsidRPr="00214E46" w:rsidTr="00CF612C">
        <w:trPr>
          <w:cantSplit/>
        </w:trPr>
        <w:tc>
          <w:tcPr>
            <w:tcW w:w="2177" w:type="dxa"/>
          </w:tcPr>
          <w:p w:rsidR="00DA0C6C" w:rsidRDefault="00DA0C6C" w:rsidP="00CF612C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44" w:type="dxa"/>
          </w:tcPr>
          <w:p w:rsidR="00DA0C6C" w:rsidRPr="00214E46" w:rsidRDefault="00DA0C6C" w:rsidP="00CF612C">
            <w:pPr>
              <w:jc w:val="both"/>
              <w:rPr>
                <w:b/>
                <w:bCs/>
                <w:vertAlign w:val="superscript"/>
              </w:rPr>
            </w:pPr>
            <w:r w:rsidRPr="00214E4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7 </w:t>
            </w:r>
            <w:r>
              <w:rPr>
                <w:vertAlign w:val="superscript"/>
              </w:rPr>
              <w:t>45</w:t>
            </w:r>
          </w:p>
        </w:tc>
        <w:tc>
          <w:tcPr>
            <w:tcW w:w="908" w:type="dxa"/>
            <w:vMerge/>
          </w:tcPr>
          <w:p w:rsidR="00DA0C6C" w:rsidRPr="00214E46" w:rsidRDefault="00DA0C6C" w:rsidP="00CF612C">
            <w:pPr>
              <w:jc w:val="center"/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DA0C6C" w:rsidRDefault="00DA0C6C" w:rsidP="00CF612C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A0C6C" w:rsidRPr="00214E46" w:rsidRDefault="00DA0C6C" w:rsidP="00CF612C">
            <w:pPr>
              <w:jc w:val="both"/>
              <w:rPr>
                <w:b/>
                <w:bCs/>
                <w:vertAlign w:val="superscript"/>
              </w:rPr>
            </w:pPr>
            <w:r>
              <w:t xml:space="preserve">  7 </w:t>
            </w:r>
            <w:r>
              <w:rPr>
                <w:vertAlign w:val="superscript"/>
              </w:rPr>
              <w:t>40</w:t>
            </w:r>
          </w:p>
        </w:tc>
      </w:tr>
      <w:tr w:rsidR="00DA0C6C" w:rsidRPr="00214E46" w:rsidTr="00CF612C">
        <w:trPr>
          <w:cantSplit/>
        </w:trPr>
        <w:tc>
          <w:tcPr>
            <w:tcW w:w="2177" w:type="dxa"/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44" w:type="dxa"/>
          </w:tcPr>
          <w:p w:rsidR="00DA0C6C" w:rsidRPr="00214E46" w:rsidRDefault="00DA0C6C" w:rsidP="00CF612C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908" w:type="dxa"/>
            <w:vMerge/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left w:val="nil"/>
              <w:right w:val="single" w:sz="4" w:space="0" w:color="auto"/>
            </w:tcBorders>
          </w:tcPr>
          <w:p w:rsidR="00DA0C6C" w:rsidRDefault="00DA0C6C" w:rsidP="00CF612C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00,40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A0C6C" w:rsidRPr="00214E46" w:rsidRDefault="00DA0C6C" w:rsidP="00CF612C">
            <w:pPr>
              <w:jc w:val="both"/>
              <w:rPr>
                <w:b/>
                <w:bCs/>
                <w:vertAlign w:val="superscript"/>
              </w:rPr>
            </w:pPr>
            <w:r>
              <w:t xml:space="preserve">  8 </w:t>
            </w:r>
            <w:r>
              <w:rPr>
                <w:vertAlign w:val="superscript"/>
              </w:rPr>
              <w:t>20</w:t>
            </w:r>
          </w:p>
        </w:tc>
      </w:tr>
      <w:tr w:rsidR="00DA0C6C" w:rsidRPr="00214E46" w:rsidTr="00CF612C">
        <w:trPr>
          <w:cantSplit/>
        </w:trPr>
        <w:tc>
          <w:tcPr>
            <w:tcW w:w="2177" w:type="dxa"/>
          </w:tcPr>
          <w:p w:rsidR="00DA0C6C" w:rsidRDefault="00DA0C6C" w:rsidP="00CF612C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44" w:type="dxa"/>
          </w:tcPr>
          <w:p w:rsidR="00DA0C6C" w:rsidRPr="00214E46" w:rsidRDefault="00DA0C6C" w:rsidP="00CF612C">
            <w:pPr>
              <w:jc w:val="both"/>
              <w:rPr>
                <w:b/>
                <w:bCs/>
                <w:vertAlign w:val="superscript"/>
              </w:rPr>
            </w:pPr>
            <w:r>
              <w:t>13</w:t>
            </w:r>
            <w:r w:rsidRPr="00214E46">
              <w:t xml:space="preserve"> </w:t>
            </w:r>
            <w:r>
              <w:rPr>
                <w:vertAlign w:val="superscript"/>
              </w:rPr>
              <w:t>15</w:t>
            </w:r>
          </w:p>
        </w:tc>
        <w:tc>
          <w:tcPr>
            <w:tcW w:w="908" w:type="dxa"/>
            <w:vMerge/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</w:tcPr>
          <w:p w:rsidR="00DA0C6C" w:rsidRDefault="00DA0C6C" w:rsidP="00CF612C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40</w:t>
            </w:r>
          </w:p>
        </w:tc>
        <w:tc>
          <w:tcPr>
            <w:tcW w:w="2220" w:type="dxa"/>
          </w:tcPr>
          <w:p w:rsidR="00DA0C6C" w:rsidRPr="00214E46" w:rsidRDefault="00DA0C6C" w:rsidP="00CF612C">
            <w:pPr>
              <w:jc w:val="both"/>
              <w:rPr>
                <w:b/>
                <w:bCs/>
                <w:vertAlign w:val="superscript"/>
              </w:rPr>
            </w:pPr>
            <w:r>
              <w:t>12</w:t>
            </w:r>
            <w:r w:rsidRPr="00214E46">
              <w:t xml:space="preserve"> </w:t>
            </w:r>
            <w:r>
              <w:rPr>
                <w:vertAlign w:val="superscript"/>
              </w:rPr>
              <w:t>20</w:t>
            </w:r>
          </w:p>
        </w:tc>
      </w:tr>
      <w:tr w:rsidR="00DA0C6C" w:rsidRPr="00214E46" w:rsidTr="00CF612C">
        <w:trPr>
          <w:cantSplit/>
        </w:trPr>
        <w:tc>
          <w:tcPr>
            <w:tcW w:w="2177" w:type="dxa"/>
          </w:tcPr>
          <w:p w:rsidR="00DA0C6C" w:rsidRDefault="00DA0C6C" w:rsidP="00CF612C">
            <w:pPr>
              <w:jc w:val="both"/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DA0C6C" w:rsidRPr="00214E46" w:rsidRDefault="00DA0C6C" w:rsidP="00CF612C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908" w:type="dxa"/>
            <w:vMerge/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DA0C6C" w:rsidRDefault="00DA0C6C" w:rsidP="00CF612C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A0C6C" w:rsidRPr="00214E46" w:rsidRDefault="00DA0C6C" w:rsidP="00CF612C">
            <w:pPr>
              <w:jc w:val="both"/>
              <w:rPr>
                <w:b/>
                <w:bCs/>
                <w:vertAlign w:val="superscript"/>
              </w:rPr>
            </w:pPr>
            <w:r>
              <w:t>14</w:t>
            </w:r>
            <w:r w:rsidRPr="00214E46">
              <w:t xml:space="preserve"> </w:t>
            </w:r>
            <w:r>
              <w:rPr>
                <w:vertAlign w:val="superscript"/>
              </w:rPr>
              <w:t>05</w:t>
            </w:r>
          </w:p>
        </w:tc>
      </w:tr>
      <w:tr w:rsidR="00DA0C6C" w:rsidRPr="00214E46" w:rsidTr="00CF612C">
        <w:trPr>
          <w:cantSplit/>
        </w:trPr>
        <w:tc>
          <w:tcPr>
            <w:tcW w:w="2177" w:type="dxa"/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58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  <w:r>
              <w:t xml:space="preserve">18 </w:t>
            </w:r>
            <w:r>
              <w:rPr>
                <w:vertAlign w:val="superscript"/>
              </w:rPr>
              <w:t>44</w:t>
            </w:r>
          </w:p>
        </w:tc>
        <w:tc>
          <w:tcPr>
            <w:tcW w:w="908" w:type="dxa"/>
            <w:vMerge/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DA0C6C" w:rsidRDefault="00DA0C6C" w:rsidP="00CF612C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  <w:r>
              <w:t xml:space="preserve">17 </w:t>
            </w:r>
            <w:r>
              <w:rPr>
                <w:vertAlign w:val="superscript"/>
              </w:rPr>
              <w:t>45</w:t>
            </w:r>
          </w:p>
        </w:tc>
      </w:tr>
      <w:tr w:rsidR="00DA0C6C" w:rsidRPr="00214E46" w:rsidTr="00CF612C">
        <w:trPr>
          <w:cantSplit/>
        </w:trPr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rFonts w:ascii="AvantGarde Bk BT" w:hAnsi="AvantGarde Bk BT"/>
                <w:b/>
                <w:bCs/>
                <w:vertAlign w:val="superscript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908" w:type="dxa"/>
            <w:vMerge/>
            <w:tcBorders>
              <w:left w:val="nil"/>
              <w:right w:val="single" w:sz="4" w:space="0" w:color="auto"/>
            </w:tcBorders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C" w:rsidRDefault="00DA0C6C" w:rsidP="00CF612C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  <w:r>
              <w:t xml:space="preserve">19 </w:t>
            </w:r>
            <w:r>
              <w:rPr>
                <w:vertAlign w:val="superscript"/>
              </w:rPr>
              <w:t>25</w:t>
            </w:r>
          </w:p>
        </w:tc>
      </w:tr>
      <w:tr w:rsidR="00DA0C6C" w:rsidRPr="00214E46" w:rsidTr="00CF612C">
        <w:trPr>
          <w:cantSplit/>
        </w:trPr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rFonts w:ascii="AvantGarde Bk BT" w:hAnsi="AvantGarde Bk BT"/>
                <w:vertAlign w:val="superscript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908" w:type="dxa"/>
            <w:vMerge/>
            <w:tcBorders>
              <w:left w:val="nil"/>
              <w:right w:val="nil"/>
            </w:tcBorders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C6C" w:rsidRPr="00214E46" w:rsidRDefault="00DA0C6C" w:rsidP="00CF612C"/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</w:p>
        </w:tc>
      </w:tr>
      <w:tr w:rsidR="00DA0C6C" w:rsidRPr="00214E46" w:rsidTr="00CF612C">
        <w:trPr>
          <w:cantSplit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C6C" w:rsidRPr="00214E46" w:rsidRDefault="00DA0C6C" w:rsidP="00CF612C">
            <w:pPr>
              <w:keepNext/>
              <w:jc w:val="center"/>
              <w:outlineLvl w:val="7"/>
              <w:rPr>
                <w:b/>
                <w:bCs/>
                <w:szCs w:val="6"/>
              </w:rPr>
            </w:pPr>
            <w:r w:rsidRPr="00214E46">
              <w:rPr>
                <w:b/>
                <w:bCs/>
                <w:szCs w:val="6"/>
              </w:rPr>
              <w:t>Маршрут № 7</w:t>
            </w:r>
            <w:r>
              <w:rPr>
                <w:b/>
                <w:bCs/>
                <w:szCs w:val="6"/>
              </w:rPr>
              <w:t>, в</w:t>
            </w:r>
            <w:r w:rsidRPr="00214E46">
              <w:rPr>
                <w:b/>
                <w:bCs/>
                <w:szCs w:val="6"/>
              </w:rPr>
              <w:t>оскресенье</w:t>
            </w:r>
          </w:p>
        </w:tc>
        <w:tc>
          <w:tcPr>
            <w:tcW w:w="908" w:type="dxa"/>
            <w:vMerge/>
            <w:tcBorders>
              <w:right w:val="nil"/>
            </w:tcBorders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</w:p>
        </w:tc>
      </w:tr>
      <w:tr w:rsidR="00DA0C6C" w:rsidRPr="00214E46" w:rsidTr="00CF612C">
        <w:trPr>
          <w:cantSplit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C" w:rsidRPr="00214E46" w:rsidRDefault="00DA0C6C" w:rsidP="00CF612C">
            <w:pPr>
              <w:jc w:val="center"/>
              <w:rPr>
                <w:b/>
              </w:rPr>
            </w:pPr>
            <w:r w:rsidRPr="00214E46">
              <w:rPr>
                <w:b/>
              </w:rPr>
              <w:t>Морской порт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C6C" w:rsidRPr="00214E46" w:rsidRDefault="00DA0C6C" w:rsidP="00CF612C">
            <w:pPr>
              <w:jc w:val="center"/>
              <w:rPr>
                <w:b/>
              </w:rPr>
            </w:pPr>
            <w:r>
              <w:rPr>
                <w:b/>
              </w:rPr>
              <w:t>оз. Безымянное</w:t>
            </w:r>
          </w:p>
        </w:tc>
        <w:tc>
          <w:tcPr>
            <w:tcW w:w="908" w:type="dxa"/>
            <w:vMerge/>
            <w:tcBorders>
              <w:right w:val="nil"/>
            </w:tcBorders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</w:p>
        </w:tc>
      </w:tr>
      <w:tr w:rsidR="00DA0C6C" w:rsidRPr="00214E46" w:rsidTr="00CF612C">
        <w:trPr>
          <w:cantSplit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  <w:r w:rsidRPr="00214E46">
              <w:rPr>
                <w:b/>
              </w:rPr>
              <w:t xml:space="preserve">11 </w:t>
            </w:r>
            <w:r w:rsidRPr="00214E46">
              <w:rPr>
                <w:vertAlign w:val="superscript"/>
              </w:rPr>
              <w:t>00, 55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C6C" w:rsidRPr="006F16DA" w:rsidRDefault="00DA0C6C" w:rsidP="00CF612C">
            <w:pPr>
              <w:ind w:left="36"/>
            </w:pPr>
            <w:r w:rsidRPr="006F16DA">
              <w:rPr>
                <w:b/>
                <w:bCs/>
              </w:rPr>
              <w:t xml:space="preserve">11 </w:t>
            </w:r>
            <w:r w:rsidRPr="006F16DA">
              <w:rPr>
                <w:vertAlign w:val="superscript"/>
              </w:rPr>
              <w:t>35</w:t>
            </w:r>
          </w:p>
        </w:tc>
        <w:tc>
          <w:tcPr>
            <w:tcW w:w="908" w:type="dxa"/>
            <w:vMerge/>
            <w:tcBorders>
              <w:right w:val="nil"/>
            </w:tcBorders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</w:p>
        </w:tc>
      </w:tr>
      <w:tr w:rsidR="00DA0C6C" w:rsidRPr="00214E46" w:rsidTr="00CF612C">
        <w:trPr>
          <w:cantSplit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C" w:rsidRPr="00214E46" w:rsidRDefault="00DA0C6C" w:rsidP="00CF612C">
            <w:pPr>
              <w:jc w:val="both"/>
              <w:rPr>
                <w:rFonts w:ascii="AvantGarde Bk BT" w:hAnsi="AvantGarde Bk BT"/>
                <w:b/>
                <w:bCs/>
                <w:vertAlign w:val="superscript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C" w:rsidRPr="006F16DA" w:rsidRDefault="00DA0C6C" w:rsidP="00CF612C">
            <w:pPr>
              <w:ind w:left="36"/>
            </w:pPr>
            <w:r w:rsidRPr="006F16DA">
              <w:rPr>
                <w:b/>
                <w:bCs/>
              </w:rPr>
              <w:t xml:space="preserve">12 </w:t>
            </w:r>
            <w:r w:rsidRPr="006F16DA">
              <w:rPr>
                <w:vertAlign w:val="superscript"/>
              </w:rPr>
              <w:t>30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0C6C" w:rsidRPr="00214E46" w:rsidRDefault="00DA0C6C" w:rsidP="00CF612C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A0C6C" w:rsidRPr="00214E46" w:rsidRDefault="00DA0C6C" w:rsidP="00CF612C">
            <w:pPr>
              <w:jc w:val="both"/>
              <w:rPr>
                <w:vertAlign w:val="superscript"/>
              </w:rPr>
            </w:pPr>
          </w:p>
        </w:tc>
      </w:tr>
    </w:tbl>
    <w:p w:rsidR="00DA0C6C" w:rsidRPr="00214E46" w:rsidRDefault="00DA0C6C" w:rsidP="00DA0C6C">
      <w:pPr>
        <w:jc w:val="right"/>
        <w:rPr>
          <w:sz w:val="28"/>
          <w:szCs w:val="6"/>
        </w:rPr>
      </w:pPr>
      <w:r>
        <w:rPr>
          <w:sz w:val="28"/>
          <w:szCs w:val="6"/>
        </w:rPr>
        <w:t>"</w:t>
      </w:r>
    </w:p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p w:rsidR="00DA0C6C" w:rsidRDefault="00DA0C6C" w:rsidP="00DC4BC8"/>
    <w:sectPr w:rsidR="00DA0C6C" w:rsidSect="00DA0C6C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B6" w:rsidRDefault="009739B6" w:rsidP="00693317">
      <w:r>
        <w:separator/>
      </w:r>
    </w:p>
  </w:endnote>
  <w:endnote w:type="continuationSeparator" w:id="0">
    <w:p w:rsidR="009739B6" w:rsidRDefault="009739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B6" w:rsidRDefault="009739B6" w:rsidP="00693317">
      <w:r>
        <w:separator/>
      </w:r>
    </w:p>
  </w:footnote>
  <w:footnote w:type="continuationSeparator" w:id="0">
    <w:p w:rsidR="009739B6" w:rsidRDefault="009739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B14752">
        <w:pPr>
          <w:pStyle w:val="a7"/>
          <w:jc w:val="center"/>
        </w:pPr>
        <w:fldSimple w:instr=" PAGE   \* MERGEFORMAT ">
          <w:r w:rsidR="00DA0C6C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AB9768D"/>
    <w:multiLevelType w:val="hybridMultilevel"/>
    <w:tmpl w:val="E5D60756"/>
    <w:lvl w:ilvl="0" w:tplc="32846DF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75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C6C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3">
    <w:name w:val="page number"/>
    <w:basedOn w:val="a0"/>
    <w:rsid w:val="00DA0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BF1A-8D72-4DE0-8E90-0E7C0ACD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2014-06-09T14:12:00Z</cp:lastPrinted>
  <dcterms:created xsi:type="dcterms:W3CDTF">2015-06-01T07:08:00Z</dcterms:created>
  <dcterms:modified xsi:type="dcterms:W3CDTF">2015-06-01T07:08:00Z</dcterms:modified>
</cp:coreProperties>
</file>