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80EE6" w:rsidP="006B1401">
            <w:pPr>
              <w:jc w:val="center"/>
            </w:pPr>
            <w:bookmarkStart w:id="0" w:name="ТекстовоеПоле7"/>
            <w:r>
              <w:t>3</w:t>
            </w:r>
            <w:r w:rsidR="006B1401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2C4F3F">
            <w:pPr>
              <w:jc w:val="center"/>
            </w:pPr>
            <w:r>
              <w:t>3</w:t>
            </w:r>
            <w:r w:rsidR="00044244">
              <w:t>4</w:t>
            </w:r>
            <w:r w:rsidR="002C4F3F">
              <w:t>5</w:t>
            </w:r>
            <w:r w:rsidR="0070325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703254" w:rsidRPr="00541C78" w:rsidRDefault="00703254" w:rsidP="00703254">
      <w:pPr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муниципального образования "Городской округ "Город Нарьян-Мар" "Финансы" </w:t>
      </w:r>
    </w:p>
    <w:p w:rsidR="00703254" w:rsidRDefault="00703254" w:rsidP="00703254">
      <w:pPr>
        <w:ind w:left="708"/>
        <w:jc w:val="both"/>
        <w:rPr>
          <w:sz w:val="26"/>
        </w:rPr>
      </w:pPr>
    </w:p>
    <w:p w:rsidR="00703254" w:rsidRDefault="00703254" w:rsidP="00703254">
      <w:pPr>
        <w:ind w:left="708"/>
        <w:jc w:val="both"/>
        <w:rPr>
          <w:sz w:val="26"/>
        </w:rPr>
      </w:pPr>
    </w:p>
    <w:p w:rsidR="00703254" w:rsidRDefault="00703254" w:rsidP="00703254">
      <w:pPr>
        <w:ind w:left="708"/>
        <w:jc w:val="both"/>
        <w:rPr>
          <w:sz w:val="26"/>
        </w:rPr>
      </w:pPr>
    </w:p>
    <w:p w:rsidR="00703254" w:rsidRDefault="00703254" w:rsidP="00703254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положениями Бюджетного кодекса Российской Федерации, руководствуясь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02.10.2014 № 2349),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703254" w:rsidRDefault="00703254" w:rsidP="00703254">
      <w:pPr>
        <w:ind w:firstLine="709"/>
        <w:jc w:val="both"/>
        <w:rPr>
          <w:sz w:val="26"/>
        </w:rPr>
      </w:pPr>
    </w:p>
    <w:p w:rsidR="00703254" w:rsidRPr="00DB0269" w:rsidRDefault="00703254" w:rsidP="00703254">
      <w:pPr>
        <w:ind w:firstLine="709"/>
        <w:jc w:val="center"/>
        <w:rPr>
          <w:b/>
          <w:sz w:val="26"/>
        </w:rPr>
      </w:pPr>
      <w:proofErr w:type="gramStart"/>
      <w:r w:rsidRPr="00DB0269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:</w:t>
      </w:r>
    </w:p>
    <w:p w:rsidR="00703254" w:rsidRDefault="00703254" w:rsidP="00703254">
      <w:pPr>
        <w:ind w:firstLine="709"/>
        <w:jc w:val="center"/>
        <w:rPr>
          <w:sz w:val="26"/>
        </w:rPr>
      </w:pPr>
    </w:p>
    <w:p w:rsidR="00703254" w:rsidRDefault="00703254" w:rsidP="00703254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proofErr w:type="gramStart"/>
      <w:r>
        <w:rPr>
          <w:sz w:val="26"/>
        </w:rPr>
        <w:t>Внести в муниципальную программу муниципального образования "Городской округ "Город Нарьян-Мар" "Финансы", утверждённую постановлением Администрации МО "Городской округ "Город Нарьян-Мар" от 10.10.2013 № 2054 "Об утверждении муниципальной программы муниципального образования "Городской округ "Город Нарьян-Мар" "Финансы" (в ред. постановлений Администрации МО "Городской округ "Город Нарьян-Мар" от 27.01.2014 № 199, от 08.04.2014 № 940, от 19.09.2014 № 2217, от 29.10.2014 № 2628), следующие изменения:</w:t>
      </w:r>
      <w:proofErr w:type="gramEnd"/>
    </w:p>
    <w:p w:rsidR="00703254" w:rsidRDefault="00703254" w:rsidP="007032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В паспорте муниципальной программы муниципального образования "Городской округ "Город Нарьян-Мар" (далее – Программа) в табличной части строку "Объёмы и источники финансирования муниципальной программы" изложить в следующей редакции:</w:t>
      </w:r>
    </w:p>
    <w:p w:rsidR="00703254" w:rsidRDefault="00703254" w:rsidP="00703254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606" w:type="dxa"/>
        <w:tblLook w:val="01E0"/>
      </w:tblPr>
      <w:tblGrid>
        <w:gridCol w:w="2628"/>
        <w:gridCol w:w="6978"/>
      </w:tblGrid>
      <w:tr w:rsidR="00703254" w:rsidTr="00703254">
        <w:tc>
          <w:tcPr>
            <w:tcW w:w="2628" w:type="dxa"/>
          </w:tcPr>
          <w:p w:rsidR="00703254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</w:t>
            </w:r>
          </w:p>
          <w:p w:rsidR="00703254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703254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</w:t>
            </w:r>
          </w:p>
          <w:p w:rsidR="00703254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  <w:p w:rsidR="00703254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6978" w:type="dxa"/>
          </w:tcPr>
          <w:p w:rsidR="00703254" w:rsidRPr="00A90301" w:rsidRDefault="00703254" w:rsidP="00703254">
            <w:pPr>
              <w:jc w:val="both"/>
              <w:rPr>
                <w:sz w:val="26"/>
                <w:szCs w:val="26"/>
              </w:rPr>
            </w:pPr>
            <w:r w:rsidRPr="00B1454E">
              <w:rPr>
                <w:sz w:val="26"/>
                <w:szCs w:val="26"/>
              </w:rPr>
              <w:t>Общий объём финансирования муниципальной программы за счёт средств городско</w:t>
            </w:r>
            <w:r>
              <w:rPr>
                <w:sz w:val="26"/>
                <w:szCs w:val="26"/>
              </w:rPr>
              <w:t xml:space="preserve">го бюджета составляет                </w:t>
            </w:r>
            <w:r w:rsidRPr="00A90301">
              <w:rPr>
                <w:sz w:val="26"/>
                <w:szCs w:val="26"/>
              </w:rPr>
              <w:t>110 077,3</w:t>
            </w:r>
            <w:r>
              <w:rPr>
                <w:sz w:val="26"/>
                <w:szCs w:val="26"/>
              </w:rPr>
              <w:t xml:space="preserve"> </w:t>
            </w:r>
            <w:r w:rsidRPr="00A90301">
              <w:rPr>
                <w:sz w:val="26"/>
                <w:szCs w:val="26"/>
              </w:rPr>
              <w:t>тыс. рублей, в том числе по годам:</w:t>
            </w:r>
          </w:p>
          <w:p w:rsidR="00703254" w:rsidRPr="00A90301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2014 год – 24 332,8 тыс. рублей;</w:t>
            </w:r>
          </w:p>
          <w:p w:rsidR="00703254" w:rsidRPr="00A90301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2015 год – 26 137,2 тыс. рублей;</w:t>
            </w:r>
          </w:p>
          <w:p w:rsidR="00703254" w:rsidRPr="00A90301" w:rsidRDefault="00703254" w:rsidP="000F7107">
            <w:pPr>
              <w:ind w:right="-365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2016 год – 26 699,0 тыс. рублей;</w:t>
            </w:r>
          </w:p>
          <w:p w:rsidR="00703254" w:rsidRDefault="00703254" w:rsidP="00703254">
            <w:pPr>
              <w:ind w:right="-365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2017 год – 32 908,3 тыс. рублей.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03254" w:rsidRDefault="00703254" w:rsidP="00703254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703254" w:rsidRDefault="00703254" w:rsidP="007032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>
        <w:rPr>
          <w:sz w:val="26"/>
          <w:szCs w:val="26"/>
        </w:rPr>
        <w:tab/>
      </w:r>
      <w:r w:rsidRPr="00A90301">
        <w:rPr>
          <w:sz w:val="26"/>
          <w:szCs w:val="26"/>
        </w:rPr>
        <w:t>В паспорте Программы</w:t>
      </w:r>
      <w:r>
        <w:rPr>
          <w:sz w:val="26"/>
          <w:szCs w:val="26"/>
        </w:rPr>
        <w:t xml:space="preserve"> в текстовой части:</w:t>
      </w:r>
    </w:p>
    <w:p w:rsidR="00703254" w:rsidRDefault="00703254" w:rsidP="007032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>
        <w:rPr>
          <w:sz w:val="26"/>
          <w:szCs w:val="26"/>
        </w:rPr>
        <w:tab/>
        <w:t>Таблицу 1 раздела I изложить в новой редакции:</w:t>
      </w:r>
    </w:p>
    <w:p w:rsidR="00703254" w:rsidRDefault="00703254" w:rsidP="00703254">
      <w:pPr>
        <w:ind w:left="-540" w:right="-81" w:firstLine="540"/>
        <w:jc w:val="both"/>
        <w:rPr>
          <w:sz w:val="26"/>
          <w:szCs w:val="26"/>
        </w:rPr>
      </w:pPr>
    </w:p>
    <w:p w:rsidR="00703254" w:rsidRDefault="00703254" w:rsidP="00703254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"Таблица 1. Основные параметры городского бюджета</w:t>
      </w:r>
    </w:p>
    <w:p w:rsidR="00703254" w:rsidRDefault="00703254" w:rsidP="00703254">
      <w:pPr>
        <w:ind w:right="-81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1E0"/>
      </w:tblPr>
      <w:tblGrid>
        <w:gridCol w:w="2376"/>
        <w:gridCol w:w="1418"/>
        <w:gridCol w:w="1559"/>
        <w:gridCol w:w="1418"/>
        <w:gridCol w:w="1417"/>
        <w:gridCol w:w="1382"/>
      </w:tblGrid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2013 год (отчёт)</w:t>
            </w: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2014 год (прогноз)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2015 год (план)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2016 год (план)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2017 год (план)</w:t>
            </w:r>
          </w:p>
        </w:tc>
      </w:tr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 xml:space="preserve">Всего доходы, </w:t>
            </w:r>
            <w:r>
              <w:rPr>
                <w:sz w:val="26"/>
                <w:szCs w:val="26"/>
              </w:rPr>
              <w:t xml:space="preserve">         </w:t>
            </w:r>
            <w:r w:rsidRPr="00A90301">
              <w:rPr>
                <w:sz w:val="26"/>
                <w:szCs w:val="26"/>
              </w:rPr>
              <w:t>млн. руб.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2 605,3</w:t>
            </w: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3 271,2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2 366,4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843,8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838,2</w:t>
            </w:r>
          </w:p>
        </w:tc>
      </w:tr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Темп роста доходов к уровню прошлого года, %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94,4</w:t>
            </w: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125,5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72,3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35,7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99,3</w:t>
            </w:r>
          </w:p>
        </w:tc>
      </w:tr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Налоговые и неналоговые доходы, млн. руб.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512,7</w:t>
            </w: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600,7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677,0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698,0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752,6</w:t>
            </w:r>
          </w:p>
        </w:tc>
      </w:tr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 xml:space="preserve">Безвозмездные поступления, </w:t>
            </w:r>
            <w:r>
              <w:rPr>
                <w:sz w:val="26"/>
                <w:szCs w:val="26"/>
              </w:rPr>
              <w:t xml:space="preserve">            </w:t>
            </w:r>
            <w:r w:rsidRPr="00A90301">
              <w:rPr>
                <w:sz w:val="26"/>
                <w:szCs w:val="26"/>
              </w:rPr>
              <w:t>млн. руб.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2 092,6</w:t>
            </w: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2 670,5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1 689,4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145,8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85,6</w:t>
            </w:r>
          </w:p>
        </w:tc>
      </w:tr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Расходы, млн. руб.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2 997,6</w:t>
            </w: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3 567,8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2 399,7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875,0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838,2</w:t>
            </w:r>
          </w:p>
        </w:tc>
      </w:tr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Темп роста расходов к уровню прошлого года, %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109,9</w:t>
            </w: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119,0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67,3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36,5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95,8</w:t>
            </w:r>
          </w:p>
        </w:tc>
      </w:tr>
      <w:tr w:rsidR="00703254" w:rsidRPr="00A90301" w:rsidTr="00703254">
        <w:tc>
          <w:tcPr>
            <w:tcW w:w="2376" w:type="dxa"/>
          </w:tcPr>
          <w:p w:rsidR="00703254" w:rsidRPr="00A90301" w:rsidRDefault="00703254" w:rsidP="000F7107">
            <w:pPr>
              <w:ind w:right="-81"/>
              <w:jc w:val="both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Дефицит</w:t>
            </w:r>
            <w:proofErr w:type="gramStart"/>
            <w:r w:rsidRPr="00A90301">
              <w:rPr>
                <w:sz w:val="26"/>
                <w:szCs w:val="26"/>
              </w:rPr>
              <w:t xml:space="preserve"> (-), </w:t>
            </w:r>
            <w:proofErr w:type="spellStart"/>
            <w:proofErr w:type="gramEnd"/>
            <w:r w:rsidRPr="00A90301">
              <w:rPr>
                <w:sz w:val="26"/>
                <w:szCs w:val="26"/>
              </w:rPr>
              <w:t>профицит</w:t>
            </w:r>
            <w:proofErr w:type="spellEnd"/>
            <w:r w:rsidRPr="00A90301">
              <w:rPr>
                <w:sz w:val="26"/>
                <w:szCs w:val="26"/>
              </w:rPr>
              <w:t xml:space="preserve"> (+), </w:t>
            </w:r>
            <w:r>
              <w:rPr>
                <w:sz w:val="26"/>
                <w:szCs w:val="26"/>
              </w:rPr>
              <w:t xml:space="preserve">            </w:t>
            </w:r>
            <w:r w:rsidRPr="00A90301">
              <w:rPr>
                <w:sz w:val="26"/>
                <w:szCs w:val="26"/>
              </w:rPr>
              <w:t>млн. руб.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90301">
              <w:rPr>
                <w:sz w:val="26"/>
                <w:szCs w:val="26"/>
              </w:rPr>
              <w:t>392,3</w:t>
            </w:r>
          </w:p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90301">
              <w:rPr>
                <w:sz w:val="26"/>
                <w:szCs w:val="26"/>
              </w:rPr>
              <w:t>296,6</w:t>
            </w:r>
          </w:p>
        </w:tc>
        <w:tc>
          <w:tcPr>
            <w:tcW w:w="1418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90301">
              <w:rPr>
                <w:sz w:val="26"/>
                <w:szCs w:val="26"/>
              </w:rPr>
              <w:t>33,3</w:t>
            </w:r>
          </w:p>
        </w:tc>
        <w:tc>
          <w:tcPr>
            <w:tcW w:w="1417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90301">
              <w:rPr>
                <w:sz w:val="26"/>
                <w:szCs w:val="26"/>
              </w:rPr>
              <w:t>31,2</w:t>
            </w:r>
          </w:p>
        </w:tc>
        <w:tc>
          <w:tcPr>
            <w:tcW w:w="1382" w:type="dxa"/>
          </w:tcPr>
          <w:p w:rsidR="00703254" w:rsidRPr="00A90301" w:rsidRDefault="00703254" w:rsidP="000F7107">
            <w:pPr>
              <w:ind w:right="-81"/>
              <w:jc w:val="center"/>
              <w:rPr>
                <w:sz w:val="26"/>
                <w:szCs w:val="26"/>
              </w:rPr>
            </w:pPr>
            <w:r w:rsidRPr="00A90301">
              <w:rPr>
                <w:sz w:val="26"/>
                <w:szCs w:val="26"/>
              </w:rPr>
              <w:t>0,0</w:t>
            </w:r>
          </w:p>
        </w:tc>
      </w:tr>
    </w:tbl>
    <w:p w:rsidR="00703254" w:rsidRPr="00A90301" w:rsidRDefault="00703254" w:rsidP="00703254">
      <w:pPr>
        <w:ind w:left="-540" w:right="-81" w:firstLine="540"/>
        <w:jc w:val="right"/>
        <w:rPr>
          <w:sz w:val="26"/>
          <w:szCs w:val="26"/>
        </w:rPr>
      </w:pPr>
      <w:r w:rsidRPr="00A90301">
        <w:rPr>
          <w:sz w:val="26"/>
          <w:szCs w:val="26"/>
        </w:rPr>
        <w:t>"</w:t>
      </w:r>
    </w:p>
    <w:p w:rsidR="00703254" w:rsidRPr="00A90301" w:rsidRDefault="00703254" w:rsidP="00703254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 w:rsidRPr="00A90301">
        <w:rPr>
          <w:sz w:val="26"/>
        </w:rPr>
        <w:t>1.3</w:t>
      </w:r>
      <w:r>
        <w:rPr>
          <w:sz w:val="26"/>
        </w:rPr>
        <w:t>.</w:t>
      </w:r>
      <w:r>
        <w:rPr>
          <w:sz w:val="26"/>
        </w:rPr>
        <w:tab/>
      </w:r>
      <w:r w:rsidRPr="00A90301">
        <w:rPr>
          <w:sz w:val="26"/>
        </w:rPr>
        <w:t>Приложение № 2 "Ресурсное обеспечение реал</w:t>
      </w:r>
      <w:r>
        <w:rPr>
          <w:sz w:val="26"/>
        </w:rPr>
        <w:t xml:space="preserve">изации муниципальной программы </w:t>
      </w:r>
      <w:r w:rsidRPr="00A90301">
        <w:rPr>
          <w:sz w:val="26"/>
        </w:rPr>
        <w:t>муниципального образования "Городской округ "Город Нарьян-Мар" "Финансы" к Программе изложить в новой редакции (Приложение 1).</w:t>
      </w:r>
    </w:p>
    <w:p w:rsidR="00703254" w:rsidRPr="00A90301" w:rsidRDefault="00703254" w:rsidP="00703254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 w:rsidRPr="00A90301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90301">
        <w:rPr>
          <w:sz w:val="26"/>
        </w:rPr>
        <w:t>В Приложении № 4 "Подпрограмма "Управление муниципальным д</w:t>
      </w:r>
      <w:r>
        <w:rPr>
          <w:sz w:val="26"/>
        </w:rPr>
        <w:t>олгом" (далее – Подпрограмма 2)</w:t>
      </w:r>
      <w:r w:rsidRPr="00A90301">
        <w:rPr>
          <w:sz w:val="26"/>
        </w:rPr>
        <w:t xml:space="preserve"> к Программе:</w:t>
      </w:r>
    </w:p>
    <w:p w:rsidR="00703254" w:rsidRPr="00A90301" w:rsidRDefault="00703254" w:rsidP="00703254">
      <w:pPr>
        <w:tabs>
          <w:tab w:val="left" w:pos="720"/>
        </w:tabs>
        <w:ind w:firstLine="709"/>
        <w:jc w:val="both"/>
        <w:rPr>
          <w:sz w:val="26"/>
        </w:rPr>
      </w:pPr>
      <w:r w:rsidRPr="00A90301">
        <w:rPr>
          <w:sz w:val="26"/>
        </w:rPr>
        <w:t>1.4</w:t>
      </w:r>
      <w:r>
        <w:rPr>
          <w:sz w:val="26"/>
        </w:rPr>
        <w:t>.1.</w:t>
      </w:r>
      <w:r>
        <w:rPr>
          <w:sz w:val="26"/>
        </w:rPr>
        <w:tab/>
      </w:r>
      <w:r w:rsidRPr="00A90301">
        <w:rPr>
          <w:sz w:val="26"/>
        </w:rPr>
        <w:t>В паспорте Подпрограммы 2 в табличной части строку "Объёмы и источники финансирования подпрограммы" изложить в новой редакции:</w:t>
      </w:r>
    </w:p>
    <w:p w:rsidR="00703254" w:rsidRPr="00A90301" w:rsidRDefault="00703254" w:rsidP="00703254">
      <w:pPr>
        <w:tabs>
          <w:tab w:val="left" w:pos="720"/>
        </w:tabs>
        <w:jc w:val="both"/>
        <w:rPr>
          <w:sz w:val="26"/>
        </w:rPr>
      </w:pPr>
      <w:r w:rsidRPr="00A90301">
        <w:rPr>
          <w:sz w:val="26"/>
        </w:rPr>
        <w:t>"</w:t>
      </w:r>
    </w:p>
    <w:tbl>
      <w:tblPr>
        <w:tblStyle w:val="af2"/>
        <w:tblW w:w="0" w:type="auto"/>
        <w:tblLook w:val="01E0"/>
      </w:tblPr>
      <w:tblGrid>
        <w:gridCol w:w="2603"/>
        <w:gridCol w:w="6967"/>
      </w:tblGrid>
      <w:tr w:rsidR="00703254" w:rsidRPr="00A90301" w:rsidTr="000F7107">
        <w:tc>
          <w:tcPr>
            <w:tcW w:w="2628" w:type="dxa"/>
          </w:tcPr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Объёмы и источники финансирования подпрограммы</w:t>
            </w:r>
          </w:p>
        </w:tc>
        <w:tc>
          <w:tcPr>
            <w:tcW w:w="7200" w:type="dxa"/>
          </w:tcPr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Общий объём финансирования подпрограммы за счёт средств городского бюджета составляет 9 408,0 тыс. рублей, в том числе по годам: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2014 год – 0,0 тыс. рублей;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2015 год – 120,4 тыс. рублей;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2016 год – 1 546,6 тыс. рублей;</w:t>
            </w:r>
          </w:p>
          <w:p w:rsidR="00703254" w:rsidRPr="00A90301" w:rsidRDefault="00703254" w:rsidP="00703254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 xml:space="preserve">2017 год – 7 741,0 тыс. рублей. </w:t>
            </w:r>
          </w:p>
        </w:tc>
      </w:tr>
    </w:tbl>
    <w:p w:rsidR="00703254" w:rsidRPr="00A90301" w:rsidRDefault="00703254" w:rsidP="00703254">
      <w:pPr>
        <w:tabs>
          <w:tab w:val="left" w:pos="720"/>
        </w:tabs>
        <w:jc w:val="right"/>
        <w:rPr>
          <w:sz w:val="26"/>
        </w:rPr>
      </w:pPr>
      <w:r w:rsidRPr="00A90301">
        <w:rPr>
          <w:sz w:val="26"/>
        </w:rPr>
        <w:t>"</w:t>
      </w:r>
    </w:p>
    <w:p w:rsidR="00703254" w:rsidRPr="00A90301" w:rsidRDefault="00703254" w:rsidP="00703254">
      <w:pPr>
        <w:tabs>
          <w:tab w:val="left" w:pos="720"/>
        </w:tabs>
        <w:ind w:firstLine="709"/>
        <w:jc w:val="both"/>
        <w:rPr>
          <w:sz w:val="26"/>
        </w:rPr>
      </w:pPr>
      <w:r w:rsidRPr="00A90301">
        <w:rPr>
          <w:sz w:val="26"/>
        </w:rPr>
        <w:t>1.4.2.</w:t>
      </w:r>
      <w:r>
        <w:rPr>
          <w:sz w:val="26"/>
        </w:rPr>
        <w:tab/>
      </w:r>
      <w:r w:rsidRPr="00A90301">
        <w:rPr>
          <w:sz w:val="26"/>
        </w:rPr>
        <w:t>Приложение № 1 "Перечень мероприятий подпрограммы "Управление муниципальным долгом" к Подпрограмме 2 изложить в новой редакции (Приложение 2).</w:t>
      </w:r>
    </w:p>
    <w:p w:rsidR="00703254" w:rsidRPr="00A90301" w:rsidRDefault="00703254" w:rsidP="00703254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 w:rsidRPr="00A90301">
        <w:rPr>
          <w:sz w:val="26"/>
        </w:rPr>
        <w:lastRenderedPageBreak/>
        <w:t>1.5</w:t>
      </w:r>
      <w:r>
        <w:rPr>
          <w:sz w:val="26"/>
        </w:rPr>
        <w:t>.</w:t>
      </w:r>
      <w:r>
        <w:rPr>
          <w:sz w:val="26"/>
        </w:rPr>
        <w:tab/>
      </w:r>
      <w:r w:rsidRPr="00A90301">
        <w:rPr>
          <w:sz w:val="26"/>
        </w:rPr>
        <w:t>В Приложении № 5 "Подпрограмма "Создание условий для реализации муниципальной программы муниципального образования "Городской округ "Город Нарьян-Мар" "Финансы" (далее – Подпрограмма 3) к Программе:</w:t>
      </w:r>
    </w:p>
    <w:p w:rsidR="00703254" w:rsidRPr="00A90301" w:rsidRDefault="00703254" w:rsidP="00703254">
      <w:pPr>
        <w:tabs>
          <w:tab w:val="left" w:pos="720"/>
        </w:tabs>
        <w:ind w:firstLine="709"/>
        <w:jc w:val="both"/>
        <w:rPr>
          <w:sz w:val="26"/>
        </w:rPr>
      </w:pPr>
      <w:r w:rsidRPr="00A90301">
        <w:rPr>
          <w:sz w:val="26"/>
        </w:rPr>
        <w:t>1.5</w:t>
      </w:r>
      <w:r>
        <w:rPr>
          <w:sz w:val="26"/>
        </w:rPr>
        <w:t>.1.</w:t>
      </w:r>
      <w:r>
        <w:rPr>
          <w:sz w:val="26"/>
        </w:rPr>
        <w:tab/>
      </w:r>
      <w:r w:rsidRPr="00A90301">
        <w:rPr>
          <w:sz w:val="26"/>
        </w:rPr>
        <w:t>В паспорте Подпрограммы 3 в табличной части строку "Объёмы и источники финансирования подпрограммы" изложить в новой редакции:</w:t>
      </w:r>
    </w:p>
    <w:p w:rsidR="00703254" w:rsidRPr="00A90301" w:rsidRDefault="00703254" w:rsidP="00703254">
      <w:pPr>
        <w:tabs>
          <w:tab w:val="left" w:pos="720"/>
        </w:tabs>
        <w:jc w:val="both"/>
        <w:rPr>
          <w:sz w:val="26"/>
        </w:rPr>
      </w:pPr>
      <w:r w:rsidRPr="00A90301">
        <w:rPr>
          <w:sz w:val="26"/>
        </w:rPr>
        <w:t>"</w:t>
      </w:r>
    </w:p>
    <w:tbl>
      <w:tblPr>
        <w:tblStyle w:val="af2"/>
        <w:tblW w:w="0" w:type="auto"/>
        <w:tblLook w:val="01E0"/>
      </w:tblPr>
      <w:tblGrid>
        <w:gridCol w:w="2603"/>
        <w:gridCol w:w="6967"/>
      </w:tblGrid>
      <w:tr w:rsidR="00703254" w:rsidRPr="00A90301" w:rsidTr="000F7107">
        <w:tc>
          <w:tcPr>
            <w:tcW w:w="2628" w:type="dxa"/>
          </w:tcPr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Объёмы и источники финансирования подпрограммы</w:t>
            </w:r>
          </w:p>
        </w:tc>
        <w:tc>
          <w:tcPr>
            <w:tcW w:w="7200" w:type="dxa"/>
          </w:tcPr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Общий объём финансирования подпрограммы за счёт средств городского бюджета составляет 100 669,3 тыс. рублей, в том числе по годам: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2014 год – 24 332,8 тыс. рублей;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2015 год – 26 016,8 тыс. рублей;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2016 год – 25 152,4 тыс. рублей;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90301">
              <w:rPr>
                <w:sz w:val="26"/>
              </w:rPr>
              <w:t>2017 год – 25 167,3 тыс. рублей.</w:t>
            </w:r>
          </w:p>
          <w:p w:rsidR="00703254" w:rsidRPr="00A90301" w:rsidRDefault="00703254" w:rsidP="000F7107">
            <w:pPr>
              <w:tabs>
                <w:tab w:val="left" w:pos="720"/>
              </w:tabs>
              <w:jc w:val="both"/>
              <w:rPr>
                <w:sz w:val="26"/>
              </w:rPr>
            </w:pPr>
          </w:p>
        </w:tc>
      </w:tr>
    </w:tbl>
    <w:p w:rsidR="00703254" w:rsidRPr="00A90301" w:rsidRDefault="00703254" w:rsidP="00703254">
      <w:pPr>
        <w:tabs>
          <w:tab w:val="left" w:pos="720"/>
        </w:tabs>
        <w:jc w:val="right"/>
        <w:rPr>
          <w:sz w:val="26"/>
        </w:rPr>
      </w:pPr>
      <w:r w:rsidRPr="00A90301">
        <w:rPr>
          <w:sz w:val="26"/>
        </w:rPr>
        <w:t>"</w:t>
      </w:r>
    </w:p>
    <w:p w:rsidR="00703254" w:rsidRPr="00A90301" w:rsidRDefault="00703254" w:rsidP="00703254">
      <w:pPr>
        <w:tabs>
          <w:tab w:val="left" w:pos="720"/>
        </w:tabs>
        <w:ind w:firstLine="709"/>
        <w:jc w:val="both"/>
        <w:rPr>
          <w:sz w:val="26"/>
        </w:rPr>
      </w:pPr>
      <w:r w:rsidRPr="00A90301">
        <w:rPr>
          <w:sz w:val="26"/>
        </w:rPr>
        <w:t>1.5.2</w:t>
      </w:r>
      <w:r>
        <w:rPr>
          <w:sz w:val="26"/>
        </w:rPr>
        <w:t>.</w:t>
      </w:r>
      <w:r>
        <w:rPr>
          <w:sz w:val="26"/>
        </w:rPr>
        <w:tab/>
      </w:r>
      <w:r w:rsidRPr="00A90301">
        <w:rPr>
          <w:sz w:val="26"/>
        </w:rPr>
        <w:t xml:space="preserve">Приложение № 1 "Перечень мероприятий подпрограммы "Создание условий для реализации муниципальной программы муниципального образования "Городской округ "Город Нарьян-Мар" "Финансы" к Подпрограмме 3 изложить </w:t>
      </w:r>
      <w:r>
        <w:rPr>
          <w:sz w:val="26"/>
        </w:rPr>
        <w:t xml:space="preserve">            </w:t>
      </w:r>
      <w:r w:rsidRPr="00A90301">
        <w:rPr>
          <w:sz w:val="26"/>
        </w:rPr>
        <w:t>в новой редакции (Приложение 3).</w:t>
      </w:r>
    </w:p>
    <w:p w:rsidR="00703254" w:rsidRPr="00A90301" w:rsidRDefault="00703254" w:rsidP="00703254">
      <w:pPr>
        <w:tabs>
          <w:tab w:val="left" w:pos="1134"/>
        </w:tabs>
        <w:ind w:firstLine="709"/>
        <w:jc w:val="both"/>
        <w:rPr>
          <w:sz w:val="26"/>
        </w:rPr>
      </w:pPr>
      <w:r w:rsidRPr="00A90301">
        <w:rPr>
          <w:sz w:val="26"/>
        </w:rPr>
        <w:t>2.</w:t>
      </w:r>
      <w:r>
        <w:rPr>
          <w:sz w:val="26"/>
        </w:rPr>
        <w:tab/>
      </w:r>
      <w:r w:rsidRPr="00A90301">
        <w:rPr>
          <w:sz w:val="26"/>
        </w:rPr>
        <w:t>Настоящее постановление вступает в силу со дня его официального опубликования.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p w:rsidR="00703254" w:rsidRDefault="00703254" w:rsidP="00D27024"/>
    <w:sectPr w:rsidR="00703254" w:rsidSect="0009295C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FB" w:rsidRDefault="008D4CFB" w:rsidP="00693317">
      <w:r>
        <w:separator/>
      </w:r>
    </w:p>
  </w:endnote>
  <w:endnote w:type="continuationSeparator" w:id="0">
    <w:p w:rsidR="008D4CFB" w:rsidRDefault="008D4CF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FB" w:rsidRDefault="008D4CFB" w:rsidP="00693317">
      <w:r>
        <w:separator/>
      </w:r>
    </w:p>
  </w:footnote>
  <w:footnote w:type="continuationSeparator" w:id="0">
    <w:p w:rsidR="008D4CFB" w:rsidRDefault="008D4CF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FB182C">
        <w:pPr>
          <w:pStyle w:val="a7"/>
          <w:jc w:val="center"/>
        </w:pPr>
        <w:fldSimple w:instr=" PAGE   \* MERGEFORMAT ">
          <w:r w:rsidR="007456C7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2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8"/>
  </w:num>
  <w:num w:numId="16">
    <w:abstractNumId w:val="9"/>
  </w:num>
  <w:num w:numId="17">
    <w:abstractNumId w:val="14"/>
  </w:num>
  <w:num w:numId="18">
    <w:abstractNumId w:val="33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7"/>
  </w:num>
  <w:num w:numId="34">
    <w:abstractNumId w:val="30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34"/>
  </w:num>
  <w:num w:numId="41">
    <w:abstractNumId w:val="1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254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6C7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82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table" w:styleId="af2">
    <w:name w:val="Table Grid"/>
    <w:basedOn w:val="a1"/>
    <w:rsid w:val="0070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222A-B6B3-4B1C-B30A-5338E6BA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2014-12-22T11:57:00Z</cp:lastPrinted>
  <dcterms:created xsi:type="dcterms:W3CDTF">2015-01-09T11:58:00Z</dcterms:created>
  <dcterms:modified xsi:type="dcterms:W3CDTF">2015-01-09T11:58:00Z</dcterms:modified>
</cp:coreProperties>
</file>