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A56" w:rsidRPr="00A13857" w:rsidRDefault="009E15A3" w:rsidP="00A13857">
      <w:pPr>
        <w:autoSpaceDE w:val="0"/>
        <w:autoSpaceDN w:val="0"/>
        <w:adjustRightInd w:val="0"/>
        <w:ind w:firstLine="426"/>
        <w:jc w:val="center"/>
        <w:rPr>
          <w:b/>
          <w:sz w:val="26"/>
          <w:szCs w:val="26"/>
        </w:rPr>
      </w:pPr>
      <w:r w:rsidRPr="00A13857">
        <w:rPr>
          <w:b/>
          <w:sz w:val="26"/>
          <w:szCs w:val="26"/>
        </w:rPr>
        <w:t>Заключение</w:t>
      </w:r>
    </w:p>
    <w:p w:rsidR="00652458" w:rsidRPr="00A13857" w:rsidRDefault="009E15A3" w:rsidP="00A13857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857">
        <w:rPr>
          <w:rFonts w:ascii="Times New Roman" w:hAnsi="Times New Roman" w:cs="Times New Roman"/>
          <w:b/>
          <w:sz w:val="26"/>
          <w:szCs w:val="26"/>
        </w:rPr>
        <w:t xml:space="preserve">об оценке регулирующего воздействия проекта </w:t>
      </w:r>
      <w:r w:rsidR="00652458" w:rsidRPr="00A13857">
        <w:rPr>
          <w:rFonts w:ascii="Times New Roman" w:hAnsi="Times New Roman" w:cs="Times New Roman"/>
          <w:b/>
          <w:sz w:val="26"/>
          <w:szCs w:val="26"/>
        </w:rPr>
        <w:t>постановления</w:t>
      </w:r>
    </w:p>
    <w:p w:rsidR="001C2E76" w:rsidRPr="00A13857" w:rsidRDefault="001C2E76" w:rsidP="00A13857">
      <w:pPr>
        <w:pStyle w:val="ConsPlusNonformat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3857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585ACC">
        <w:rPr>
          <w:rFonts w:ascii="Times New Roman" w:hAnsi="Times New Roman" w:cs="Times New Roman"/>
          <w:b/>
          <w:sz w:val="26"/>
          <w:szCs w:val="26"/>
        </w:rPr>
        <w:t>муниципального образования</w:t>
      </w:r>
      <w:r w:rsidR="0067412F" w:rsidRPr="00A138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6141D" w:rsidRPr="00A13857">
        <w:rPr>
          <w:rFonts w:ascii="Times New Roman" w:hAnsi="Times New Roman" w:cs="Times New Roman"/>
          <w:b/>
          <w:sz w:val="26"/>
          <w:szCs w:val="26"/>
        </w:rPr>
        <w:t>"</w:t>
      </w:r>
      <w:r w:rsidRPr="00A13857">
        <w:rPr>
          <w:rFonts w:ascii="Times New Roman" w:hAnsi="Times New Roman" w:cs="Times New Roman"/>
          <w:b/>
          <w:sz w:val="26"/>
          <w:szCs w:val="26"/>
        </w:rPr>
        <w:t>Гор</w:t>
      </w:r>
      <w:r w:rsidR="00652458" w:rsidRPr="00A13857">
        <w:rPr>
          <w:rFonts w:ascii="Times New Roman" w:hAnsi="Times New Roman" w:cs="Times New Roman"/>
          <w:b/>
          <w:sz w:val="26"/>
          <w:szCs w:val="26"/>
        </w:rPr>
        <w:t>одской округ "Город Нарьян-Мар"</w:t>
      </w:r>
      <w:r w:rsidR="00585AC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412F" w:rsidRPr="00A13857">
        <w:rPr>
          <w:rFonts w:ascii="Times New Roman" w:hAnsi="Times New Roman" w:cs="Times New Roman"/>
          <w:b/>
          <w:sz w:val="26"/>
          <w:szCs w:val="26"/>
        </w:rPr>
        <w:t>"</w:t>
      </w:r>
      <w:r w:rsidR="00F02D22" w:rsidRPr="00F02D22">
        <w:rPr>
          <w:rFonts w:ascii="Times New Roman" w:hAnsi="Times New Roman" w:cs="Times New Roman"/>
          <w:b/>
          <w:sz w:val="26"/>
          <w:szCs w:val="26"/>
        </w:rPr>
        <w:t>О внесении изменения в постановление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</w:t>
      </w:r>
      <w:r w:rsidR="00A5109D" w:rsidRPr="00A13857">
        <w:rPr>
          <w:rFonts w:ascii="Times New Roman" w:hAnsi="Times New Roman" w:cs="Times New Roman"/>
          <w:b/>
          <w:sz w:val="26"/>
          <w:szCs w:val="26"/>
        </w:rPr>
        <w:t>"</w:t>
      </w:r>
    </w:p>
    <w:p w:rsidR="00CA2D02" w:rsidRPr="00A13857" w:rsidRDefault="00CA2D02" w:rsidP="00A13857">
      <w:pPr>
        <w:autoSpaceDE w:val="0"/>
        <w:autoSpaceDN w:val="0"/>
        <w:adjustRightInd w:val="0"/>
        <w:ind w:firstLine="426"/>
        <w:jc w:val="both"/>
        <w:rPr>
          <w:b/>
          <w:sz w:val="26"/>
          <w:szCs w:val="26"/>
        </w:rPr>
      </w:pPr>
    </w:p>
    <w:p w:rsidR="00967D51" w:rsidRPr="00A13857" w:rsidRDefault="00B14B5D" w:rsidP="00A1385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A13857">
        <w:rPr>
          <w:sz w:val="26"/>
          <w:szCs w:val="26"/>
        </w:rPr>
        <w:t>Управление экономического и инвестиционного развития Администрации муниципального образования "Горо</w:t>
      </w:r>
      <w:r w:rsidR="003C632A" w:rsidRPr="00A13857">
        <w:rPr>
          <w:sz w:val="26"/>
          <w:szCs w:val="26"/>
        </w:rPr>
        <w:t>дской округ "Город Нарьян-Мар" –</w:t>
      </w:r>
      <w:r w:rsidRPr="00A13857">
        <w:rPr>
          <w:sz w:val="26"/>
          <w:szCs w:val="26"/>
        </w:rPr>
        <w:t xml:space="preserve"> уполномоченный орган </w:t>
      </w:r>
      <w:r w:rsidR="00F94076" w:rsidRPr="00A13857">
        <w:rPr>
          <w:sz w:val="26"/>
          <w:szCs w:val="26"/>
        </w:rPr>
        <w:t>за проведение процедур ОРВ и экспертизы актов, выполняющее функции нормативно-правового, информационного и методического обеспечения оценки регулирующего воздействия, осуществляющее подготовку заключений об оценке регулирующего воздействия проектов актов, а также осуществляющее подготовку заключений об экспертизе актов, затрагивающих вопросы осуществления предпринимательской и инвестиционной деятельности.</w:t>
      </w:r>
      <w:proofErr w:type="gramEnd"/>
      <w:r w:rsidRPr="00A13857">
        <w:rPr>
          <w:sz w:val="26"/>
          <w:szCs w:val="26"/>
        </w:rPr>
        <w:t xml:space="preserve"> </w:t>
      </w:r>
      <w:r w:rsidR="00F94076" w:rsidRPr="00A13857">
        <w:rPr>
          <w:sz w:val="26"/>
          <w:szCs w:val="26"/>
        </w:rPr>
        <w:t>В</w:t>
      </w:r>
      <w:r w:rsidRPr="00A13857">
        <w:rPr>
          <w:sz w:val="26"/>
          <w:szCs w:val="26"/>
        </w:rPr>
        <w:t xml:space="preserve"> соответствии с </w:t>
      </w:r>
      <w:hyperlink r:id="rId8" w:history="1">
        <w:proofErr w:type="gramStart"/>
        <w:r w:rsidR="00F94076" w:rsidRPr="00A13857">
          <w:rPr>
            <w:sz w:val="26"/>
            <w:szCs w:val="26"/>
          </w:rPr>
          <w:t>Поряд</w:t>
        </w:r>
      </w:hyperlink>
      <w:r w:rsidR="00F94076" w:rsidRPr="00A13857">
        <w:rPr>
          <w:sz w:val="26"/>
          <w:szCs w:val="26"/>
        </w:rPr>
        <w:t>ком</w:t>
      </w:r>
      <w:proofErr w:type="gramEnd"/>
      <w:r w:rsidR="00F94076" w:rsidRPr="00A13857">
        <w:rPr>
          <w:sz w:val="26"/>
          <w:szCs w:val="26"/>
        </w:rPr>
        <w:t xml:space="preserve">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МО "Городской округ "Город Нарьян-Мар" от 24.10.2019 № 1003</w:t>
      </w:r>
      <w:r w:rsidR="00B91048" w:rsidRPr="00A13857">
        <w:rPr>
          <w:sz w:val="26"/>
          <w:szCs w:val="26"/>
        </w:rPr>
        <w:t xml:space="preserve"> (далее – Порядок)</w:t>
      </w:r>
      <w:r w:rsidR="00F94076" w:rsidRPr="00A13857">
        <w:rPr>
          <w:sz w:val="26"/>
          <w:szCs w:val="26"/>
        </w:rPr>
        <w:t xml:space="preserve"> уполномоченный орган</w:t>
      </w:r>
      <w:r w:rsidRPr="00A13857">
        <w:rPr>
          <w:sz w:val="26"/>
          <w:szCs w:val="26"/>
        </w:rPr>
        <w:t xml:space="preserve"> рассмотрел проект</w:t>
      </w:r>
      <w:r w:rsidR="00646245" w:rsidRPr="00A13857">
        <w:rPr>
          <w:b/>
          <w:i/>
          <w:sz w:val="26"/>
          <w:szCs w:val="26"/>
        </w:rPr>
        <w:t xml:space="preserve"> </w:t>
      </w:r>
      <w:r w:rsidR="00646245" w:rsidRPr="00A13857">
        <w:rPr>
          <w:sz w:val="26"/>
          <w:szCs w:val="26"/>
        </w:rPr>
        <w:t xml:space="preserve">постановления Администрации МО Городской округ "Город Нарьян-Мар" </w:t>
      </w:r>
      <w:r w:rsidR="00DC0003" w:rsidRPr="00A13857">
        <w:rPr>
          <w:sz w:val="26"/>
          <w:szCs w:val="26"/>
        </w:rPr>
        <w:t>"</w:t>
      </w:r>
      <w:r w:rsidR="00A82F95" w:rsidRPr="00A82F95">
        <w:rPr>
          <w:sz w:val="26"/>
          <w:szCs w:val="26"/>
        </w:rPr>
        <w:t>О внесении изменения в постановление Администрации МО "Городской округ "Город Нарьян-Мар" от 15.05.2018 № 327 "Об утверждении схемы размещения нестационарных торговых объектов на территории МО "Городской округ "Город Нарьян-Мар</w:t>
      </w:r>
      <w:r w:rsidR="00A5109D" w:rsidRPr="00A13857">
        <w:rPr>
          <w:sz w:val="26"/>
          <w:szCs w:val="26"/>
        </w:rPr>
        <w:t>"</w:t>
      </w:r>
      <w:r w:rsidR="00670B6E" w:rsidRPr="00A13857">
        <w:rPr>
          <w:sz w:val="26"/>
          <w:szCs w:val="26"/>
        </w:rPr>
        <w:t xml:space="preserve"> (далее –</w:t>
      </w:r>
      <w:r w:rsidR="00F152CE" w:rsidRPr="00A13857">
        <w:rPr>
          <w:sz w:val="26"/>
          <w:szCs w:val="26"/>
        </w:rPr>
        <w:t xml:space="preserve"> проект акта)</w:t>
      </w:r>
      <w:r w:rsidR="00C313A1" w:rsidRPr="00A13857">
        <w:rPr>
          <w:sz w:val="26"/>
          <w:szCs w:val="26"/>
        </w:rPr>
        <w:t xml:space="preserve">, </w:t>
      </w:r>
      <w:r w:rsidR="00370CCF" w:rsidRPr="00A13857">
        <w:rPr>
          <w:sz w:val="26"/>
          <w:szCs w:val="26"/>
        </w:rPr>
        <w:t xml:space="preserve">в результате </w:t>
      </w:r>
      <w:r w:rsidR="00720CAC" w:rsidRPr="00A13857">
        <w:rPr>
          <w:sz w:val="26"/>
          <w:szCs w:val="26"/>
        </w:rPr>
        <w:t>чего</w:t>
      </w:r>
      <w:r w:rsidR="00FE15A8" w:rsidRPr="00A13857">
        <w:rPr>
          <w:sz w:val="26"/>
          <w:szCs w:val="26"/>
        </w:rPr>
        <w:t xml:space="preserve"> </w:t>
      </w:r>
      <w:r w:rsidR="00C313A1" w:rsidRPr="00A13857">
        <w:rPr>
          <w:sz w:val="26"/>
          <w:szCs w:val="26"/>
        </w:rPr>
        <w:t>установлено следующее</w:t>
      </w:r>
      <w:r w:rsidR="00F152CE" w:rsidRPr="00A13857">
        <w:rPr>
          <w:sz w:val="26"/>
          <w:szCs w:val="26"/>
        </w:rPr>
        <w:t>.</w:t>
      </w:r>
    </w:p>
    <w:p w:rsidR="00BF01B6" w:rsidRPr="00A13857" w:rsidRDefault="00BF01B6" w:rsidP="00A13857">
      <w:pPr>
        <w:pStyle w:val="ConsPlusNonformat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857">
        <w:rPr>
          <w:rFonts w:ascii="Times New Roman" w:hAnsi="Times New Roman" w:cs="Times New Roman"/>
          <w:sz w:val="26"/>
          <w:szCs w:val="26"/>
        </w:rPr>
        <w:t>При подготовке проекта</w:t>
      </w:r>
      <w:r w:rsidRPr="00A13857">
        <w:rPr>
          <w:sz w:val="26"/>
          <w:szCs w:val="26"/>
        </w:rPr>
        <w:t xml:space="preserve"> </w:t>
      </w:r>
      <w:r w:rsidRPr="00A13857">
        <w:rPr>
          <w:rFonts w:ascii="Times New Roman" w:hAnsi="Times New Roman" w:cs="Times New Roman"/>
          <w:sz w:val="26"/>
          <w:szCs w:val="26"/>
        </w:rPr>
        <w:t xml:space="preserve">акта процедуры, предусмотренные </w:t>
      </w:r>
      <w:r w:rsidR="00B91048" w:rsidRPr="00A13857">
        <w:rPr>
          <w:rFonts w:ascii="Times New Roman" w:hAnsi="Times New Roman" w:cs="Times New Roman"/>
          <w:sz w:val="26"/>
          <w:szCs w:val="26"/>
        </w:rPr>
        <w:t>Порядком</w:t>
      </w:r>
      <w:r w:rsidRPr="00A13857">
        <w:rPr>
          <w:rFonts w:ascii="Times New Roman" w:hAnsi="Times New Roman" w:cs="Times New Roman"/>
          <w:sz w:val="26"/>
          <w:szCs w:val="26"/>
        </w:rPr>
        <w:t>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Информация об оценке регулирующего воздействия проекта акта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</w:t>
      </w:r>
      <w:proofErr w:type="gramStart"/>
      <w:r w:rsidRPr="00A13857">
        <w:rPr>
          <w:sz w:val="26"/>
          <w:szCs w:val="26"/>
        </w:rPr>
        <w:t xml:space="preserve">Также уведомления о проведении публичных консультаций были направлены в: Департамент финансов и экономики Ненецкого автономного округа,  Прокуратуру НАО, </w:t>
      </w:r>
      <w:r w:rsidRPr="00A13857">
        <w:rPr>
          <w:bCs/>
          <w:sz w:val="26"/>
          <w:szCs w:val="26"/>
        </w:rPr>
        <w:t>НРО ООО "Деловая Россия"</w:t>
      </w:r>
      <w:r w:rsidRPr="00A13857">
        <w:rPr>
          <w:sz w:val="26"/>
          <w:szCs w:val="26"/>
        </w:rPr>
        <w:t xml:space="preserve">, </w:t>
      </w:r>
      <w:r w:rsidRPr="00A13857">
        <w:rPr>
          <w:bCs/>
          <w:sz w:val="26"/>
          <w:szCs w:val="26"/>
        </w:rPr>
        <w:t xml:space="preserve">АО "Центр развития бизнеса НАО", Совет городского округа "Город Нарьян-Мар", </w:t>
      </w:r>
      <w:r w:rsidR="00C64FE0" w:rsidRPr="00A13857">
        <w:rPr>
          <w:sz w:val="26"/>
          <w:szCs w:val="26"/>
        </w:rPr>
        <w:t xml:space="preserve">Уполномоченному по защите </w:t>
      </w:r>
      <w:r w:rsidR="00B21233">
        <w:rPr>
          <w:sz w:val="26"/>
          <w:szCs w:val="26"/>
        </w:rPr>
        <w:t xml:space="preserve">прав </w:t>
      </w:r>
      <w:r w:rsidR="00C64FE0" w:rsidRPr="00A13857">
        <w:rPr>
          <w:sz w:val="26"/>
          <w:szCs w:val="26"/>
        </w:rPr>
        <w:t>предпринимател</w:t>
      </w:r>
      <w:r w:rsidR="00143F2B" w:rsidRPr="00A13857">
        <w:rPr>
          <w:sz w:val="26"/>
          <w:szCs w:val="26"/>
        </w:rPr>
        <w:t>ей в Ненецком автономном округе</w:t>
      </w:r>
      <w:r w:rsidR="00A82F95">
        <w:rPr>
          <w:sz w:val="26"/>
          <w:szCs w:val="26"/>
        </w:rPr>
        <w:t xml:space="preserve">, ИП Джафарову Д.М., ИП </w:t>
      </w:r>
      <w:proofErr w:type="spellStart"/>
      <w:r w:rsidR="00A82F95">
        <w:rPr>
          <w:sz w:val="26"/>
          <w:szCs w:val="26"/>
        </w:rPr>
        <w:t>Магеррамову</w:t>
      </w:r>
      <w:proofErr w:type="spellEnd"/>
      <w:r w:rsidR="00A82F95">
        <w:rPr>
          <w:sz w:val="26"/>
          <w:szCs w:val="26"/>
        </w:rPr>
        <w:t xml:space="preserve"> М.М., ИП </w:t>
      </w:r>
      <w:proofErr w:type="spellStart"/>
      <w:r w:rsidR="00A82F95">
        <w:rPr>
          <w:sz w:val="26"/>
          <w:szCs w:val="26"/>
        </w:rPr>
        <w:t>Садыгову</w:t>
      </w:r>
      <w:proofErr w:type="spellEnd"/>
      <w:r w:rsidR="00A82F95">
        <w:rPr>
          <w:sz w:val="26"/>
          <w:szCs w:val="26"/>
        </w:rPr>
        <w:t xml:space="preserve"> Х.М., ИП Петрову В.В., ИП </w:t>
      </w:r>
      <w:proofErr w:type="spellStart"/>
      <w:r w:rsidR="00A82F95">
        <w:rPr>
          <w:sz w:val="26"/>
          <w:szCs w:val="26"/>
        </w:rPr>
        <w:t>Гадирову</w:t>
      </w:r>
      <w:proofErr w:type="spellEnd"/>
      <w:r w:rsidR="00A82F95">
        <w:rPr>
          <w:sz w:val="26"/>
          <w:szCs w:val="26"/>
        </w:rPr>
        <w:t xml:space="preserve"> Р.</w:t>
      </w:r>
      <w:proofErr w:type="gramEnd"/>
      <w:r w:rsidR="00A82F95">
        <w:rPr>
          <w:sz w:val="26"/>
          <w:szCs w:val="26"/>
        </w:rPr>
        <w:t xml:space="preserve">Я., ИП </w:t>
      </w:r>
      <w:proofErr w:type="spellStart"/>
      <w:r w:rsidR="00A82F95">
        <w:rPr>
          <w:sz w:val="26"/>
          <w:szCs w:val="26"/>
        </w:rPr>
        <w:t>Сеидову</w:t>
      </w:r>
      <w:proofErr w:type="spellEnd"/>
      <w:r w:rsidR="00A82F95">
        <w:rPr>
          <w:sz w:val="26"/>
          <w:szCs w:val="26"/>
        </w:rPr>
        <w:t xml:space="preserve"> И.Г., ИП </w:t>
      </w:r>
      <w:proofErr w:type="spellStart"/>
      <w:r w:rsidR="00A82F95">
        <w:rPr>
          <w:sz w:val="26"/>
          <w:szCs w:val="26"/>
        </w:rPr>
        <w:t>Киргуевой</w:t>
      </w:r>
      <w:proofErr w:type="spellEnd"/>
      <w:r w:rsidR="00A82F95">
        <w:rPr>
          <w:sz w:val="26"/>
          <w:szCs w:val="26"/>
        </w:rPr>
        <w:t xml:space="preserve"> З.В., Главе крестьянского (фермерского) хозяйства Попову А.В., СПК </w:t>
      </w:r>
      <w:proofErr w:type="spellStart"/>
      <w:r w:rsidR="00A82F95">
        <w:rPr>
          <w:sz w:val="26"/>
          <w:szCs w:val="26"/>
        </w:rPr>
        <w:t>Коопхоз</w:t>
      </w:r>
      <w:proofErr w:type="spellEnd"/>
      <w:r w:rsidR="00A82F95">
        <w:rPr>
          <w:sz w:val="26"/>
          <w:szCs w:val="26"/>
        </w:rPr>
        <w:t xml:space="preserve"> "ЕРВ", ИП Сулейманову Э.И., ИП Магомедову К.А.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В ходе подготовки настоящего заключения были проведены публичные консультации в сроки с </w:t>
      </w:r>
      <w:r w:rsidR="00143F2B" w:rsidRPr="00A13857">
        <w:rPr>
          <w:sz w:val="26"/>
          <w:szCs w:val="26"/>
        </w:rPr>
        <w:t>0</w:t>
      </w:r>
      <w:r w:rsidR="00BE7E9B">
        <w:rPr>
          <w:sz w:val="26"/>
          <w:szCs w:val="26"/>
        </w:rPr>
        <w:t>4</w:t>
      </w:r>
      <w:r w:rsidR="00143F2B" w:rsidRPr="00A13857">
        <w:rPr>
          <w:sz w:val="26"/>
          <w:szCs w:val="26"/>
        </w:rPr>
        <w:t>.02.2020</w:t>
      </w:r>
      <w:r w:rsidRPr="00A13857">
        <w:rPr>
          <w:sz w:val="26"/>
          <w:szCs w:val="26"/>
        </w:rPr>
        <w:t xml:space="preserve"> по </w:t>
      </w:r>
      <w:r w:rsidR="00BE7E9B">
        <w:rPr>
          <w:sz w:val="26"/>
          <w:szCs w:val="26"/>
        </w:rPr>
        <w:t>04</w:t>
      </w:r>
      <w:r w:rsidR="00143F2B" w:rsidRPr="00A13857">
        <w:rPr>
          <w:sz w:val="26"/>
          <w:szCs w:val="26"/>
        </w:rPr>
        <w:t>.0</w:t>
      </w:r>
      <w:r w:rsidR="00BE7E9B">
        <w:rPr>
          <w:sz w:val="26"/>
          <w:szCs w:val="26"/>
        </w:rPr>
        <w:t>3</w:t>
      </w:r>
      <w:r w:rsidR="00143F2B" w:rsidRPr="00A13857">
        <w:rPr>
          <w:sz w:val="26"/>
          <w:szCs w:val="26"/>
        </w:rPr>
        <w:t>.2020</w:t>
      </w:r>
      <w:r w:rsidRPr="00A13857">
        <w:rPr>
          <w:sz w:val="26"/>
          <w:szCs w:val="26"/>
        </w:rPr>
        <w:t>.</w:t>
      </w:r>
    </w:p>
    <w:p w:rsidR="00BE7E9B" w:rsidRDefault="00BF01B6" w:rsidP="00A13857">
      <w:pPr>
        <w:numPr>
          <w:ilvl w:val="0"/>
          <w:numId w:val="14"/>
        </w:numPr>
        <w:tabs>
          <w:tab w:val="left" w:pos="851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lastRenderedPageBreak/>
        <w:t xml:space="preserve">Проект акта разработан в целях </w:t>
      </w:r>
      <w:r w:rsidR="00BE7E9B">
        <w:rPr>
          <w:sz w:val="26"/>
          <w:szCs w:val="26"/>
        </w:rPr>
        <w:t xml:space="preserve">актуализации схемы размещения нестационарных торговых объектов </w:t>
      </w:r>
      <w:proofErr w:type="gramStart"/>
      <w:r w:rsidR="00BE7E9B">
        <w:rPr>
          <w:sz w:val="26"/>
          <w:szCs w:val="26"/>
        </w:rPr>
        <w:t>согласно письма</w:t>
      </w:r>
      <w:proofErr w:type="gramEnd"/>
      <w:r w:rsidR="00BE7E9B">
        <w:rPr>
          <w:sz w:val="26"/>
          <w:szCs w:val="26"/>
        </w:rPr>
        <w:t xml:space="preserve"> </w:t>
      </w:r>
      <w:r w:rsidR="00BE7E9B" w:rsidRPr="00BE7E9B">
        <w:rPr>
          <w:sz w:val="26"/>
          <w:szCs w:val="26"/>
        </w:rPr>
        <w:t>Управления имущественных и земельных отношений НАО</w:t>
      </w:r>
      <w:r w:rsidR="00BE7E9B">
        <w:rPr>
          <w:sz w:val="26"/>
          <w:szCs w:val="26"/>
        </w:rPr>
        <w:t>.</w:t>
      </w:r>
    </w:p>
    <w:p w:rsidR="00BE7E9B" w:rsidRPr="00BE7E9B" w:rsidRDefault="00BE7E9B" w:rsidP="00BE7E9B">
      <w:pPr>
        <w:pStyle w:val="ae"/>
        <w:numPr>
          <w:ilvl w:val="0"/>
          <w:numId w:val="14"/>
        </w:numPr>
        <w:spacing w:before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>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>Отказ Управления имущественных и земельных отношений НАО в согласовании следующих мест под размещение нестационарных торговых объектов: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 xml:space="preserve">- ул. </w:t>
      </w:r>
      <w:proofErr w:type="gramStart"/>
      <w:r w:rsidRPr="00BE7E9B">
        <w:rPr>
          <w:rFonts w:ascii="Times New Roman" w:hAnsi="Times New Roman"/>
          <w:sz w:val="26"/>
          <w:szCs w:val="26"/>
        </w:rPr>
        <w:t>Строительная</w:t>
      </w:r>
      <w:proofErr w:type="gramEnd"/>
      <w:r w:rsidRPr="00BE7E9B">
        <w:rPr>
          <w:rFonts w:ascii="Times New Roman" w:hAnsi="Times New Roman"/>
          <w:sz w:val="26"/>
          <w:szCs w:val="26"/>
        </w:rPr>
        <w:t>, в районе д. 9;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 xml:space="preserve">- ул. </w:t>
      </w:r>
      <w:proofErr w:type="gramStart"/>
      <w:r w:rsidRPr="00BE7E9B">
        <w:rPr>
          <w:rFonts w:ascii="Times New Roman" w:hAnsi="Times New Roman"/>
          <w:sz w:val="26"/>
          <w:szCs w:val="26"/>
        </w:rPr>
        <w:t>Российская</w:t>
      </w:r>
      <w:proofErr w:type="gramEnd"/>
      <w:r w:rsidRPr="00BE7E9B">
        <w:rPr>
          <w:rFonts w:ascii="Times New Roman" w:hAnsi="Times New Roman"/>
          <w:sz w:val="26"/>
          <w:szCs w:val="26"/>
        </w:rPr>
        <w:t>, в районе д. 3А;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>- ул. Сапрыгина, в районе д. 9В (2 места);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 xml:space="preserve">- ул. </w:t>
      </w:r>
      <w:proofErr w:type="gramStart"/>
      <w:r w:rsidRPr="00BE7E9B">
        <w:rPr>
          <w:rFonts w:ascii="Times New Roman" w:hAnsi="Times New Roman"/>
          <w:sz w:val="26"/>
          <w:szCs w:val="26"/>
        </w:rPr>
        <w:t>Юбилейная</w:t>
      </w:r>
      <w:proofErr w:type="gramEnd"/>
      <w:r w:rsidRPr="00BE7E9B">
        <w:rPr>
          <w:rFonts w:ascii="Times New Roman" w:hAnsi="Times New Roman"/>
          <w:sz w:val="26"/>
          <w:szCs w:val="26"/>
        </w:rPr>
        <w:t>, в районе д. 8;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ind w:left="0" w:firstLine="709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>- ул. Ленина, в районе д. 49А (2 места);</w:t>
      </w:r>
    </w:p>
    <w:p w:rsidR="00BE7E9B" w:rsidRPr="00BE7E9B" w:rsidRDefault="00BE7E9B" w:rsidP="00BE7E9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7E9B">
        <w:rPr>
          <w:rFonts w:ascii="Times New Roman" w:hAnsi="Times New Roman" w:cs="Times New Roman"/>
          <w:sz w:val="26"/>
          <w:szCs w:val="26"/>
        </w:rPr>
        <w:t>- ул. Авиаторов, в районе д. 23.</w:t>
      </w:r>
    </w:p>
    <w:p w:rsidR="00BE7E9B" w:rsidRPr="00BE7E9B" w:rsidRDefault="00BE7E9B" w:rsidP="00BE7E9B">
      <w:pPr>
        <w:pStyle w:val="ae"/>
        <w:spacing w:before="0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>в связи с возможным образованием на данных местах земельных участков под объекты, согласно проекту межевания территории МО "Городской округ "Город Нарьян-Мар", утвержденному распоряжением Департамента строительства, жилищно-коммунального хозяйства, энергетики и транспорта НАО от 30.12.2016 № 658-р.</w:t>
      </w:r>
    </w:p>
    <w:p w:rsidR="00BE7E9B" w:rsidRPr="00BE7E9B" w:rsidRDefault="00BE7E9B" w:rsidP="00BE7E9B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данным разработчика </w:t>
      </w:r>
      <w:r w:rsidRPr="00BE7E9B">
        <w:rPr>
          <w:sz w:val="26"/>
          <w:szCs w:val="26"/>
        </w:rPr>
        <w:t>изменения не затронут интересы предпринимателей, по настоящее время отсутствуют действующие договоры на размещение НТО на данные участки.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>Краткое описание содержания предлагаемого правового регулирования:</w:t>
      </w:r>
    </w:p>
    <w:p w:rsidR="00BE7E9B" w:rsidRPr="00BE7E9B" w:rsidRDefault="00BE7E9B" w:rsidP="00BE7E9B">
      <w:pPr>
        <w:pStyle w:val="ae"/>
        <w:spacing w:before="0"/>
        <w:ind w:left="646"/>
        <w:jc w:val="both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>Проектом акта исключаются следующие места под размещение НТО: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spacing w:before="0"/>
        <w:ind w:left="646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 xml:space="preserve">- ул. </w:t>
      </w:r>
      <w:proofErr w:type="gramStart"/>
      <w:r w:rsidRPr="00BE7E9B">
        <w:rPr>
          <w:rFonts w:ascii="Times New Roman" w:hAnsi="Times New Roman"/>
          <w:sz w:val="26"/>
          <w:szCs w:val="26"/>
        </w:rPr>
        <w:t>Строительная</w:t>
      </w:r>
      <w:proofErr w:type="gramEnd"/>
      <w:r w:rsidRPr="00BE7E9B">
        <w:rPr>
          <w:rFonts w:ascii="Times New Roman" w:hAnsi="Times New Roman"/>
          <w:sz w:val="26"/>
          <w:szCs w:val="26"/>
        </w:rPr>
        <w:t>, в районе дома 9;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spacing w:before="0"/>
        <w:ind w:left="646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 xml:space="preserve">- ул. </w:t>
      </w:r>
      <w:proofErr w:type="gramStart"/>
      <w:r w:rsidRPr="00BE7E9B">
        <w:rPr>
          <w:rFonts w:ascii="Times New Roman" w:hAnsi="Times New Roman"/>
          <w:sz w:val="26"/>
          <w:szCs w:val="26"/>
        </w:rPr>
        <w:t>Российская</w:t>
      </w:r>
      <w:proofErr w:type="gramEnd"/>
      <w:r w:rsidRPr="00BE7E9B">
        <w:rPr>
          <w:rFonts w:ascii="Times New Roman" w:hAnsi="Times New Roman"/>
          <w:sz w:val="26"/>
          <w:szCs w:val="26"/>
        </w:rPr>
        <w:t>, в районе дома 3А;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spacing w:before="0"/>
        <w:ind w:left="646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>- ул. Сапрыгина, в районе дома 9В (2 места);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spacing w:before="0"/>
        <w:ind w:left="646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 xml:space="preserve">- ул. </w:t>
      </w:r>
      <w:proofErr w:type="gramStart"/>
      <w:r w:rsidRPr="00BE7E9B">
        <w:rPr>
          <w:rFonts w:ascii="Times New Roman" w:hAnsi="Times New Roman"/>
          <w:sz w:val="26"/>
          <w:szCs w:val="26"/>
        </w:rPr>
        <w:t>Юбилейная</w:t>
      </w:r>
      <w:proofErr w:type="gramEnd"/>
      <w:r w:rsidRPr="00BE7E9B">
        <w:rPr>
          <w:rFonts w:ascii="Times New Roman" w:hAnsi="Times New Roman"/>
          <w:sz w:val="26"/>
          <w:szCs w:val="26"/>
        </w:rPr>
        <w:t>, в районе дома 8;</w:t>
      </w:r>
    </w:p>
    <w:p w:rsidR="00BE7E9B" w:rsidRPr="00BE7E9B" w:rsidRDefault="00BE7E9B" w:rsidP="00BE7E9B">
      <w:pPr>
        <w:pStyle w:val="ae"/>
        <w:autoSpaceDE w:val="0"/>
        <w:autoSpaceDN w:val="0"/>
        <w:adjustRightInd w:val="0"/>
        <w:spacing w:before="0"/>
        <w:ind w:left="646"/>
        <w:jc w:val="left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>- ул. Ленина, в районе дома 49А (2 места);</w:t>
      </w:r>
    </w:p>
    <w:p w:rsidR="00823659" w:rsidRDefault="00BE7E9B" w:rsidP="00BE7E9B">
      <w:pPr>
        <w:pStyle w:val="ae"/>
        <w:spacing w:before="0"/>
        <w:ind w:left="646"/>
        <w:jc w:val="both"/>
        <w:rPr>
          <w:rFonts w:ascii="Times New Roman" w:hAnsi="Times New Roman"/>
          <w:sz w:val="26"/>
          <w:szCs w:val="26"/>
        </w:rPr>
      </w:pPr>
      <w:r w:rsidRPr="00BE7E9B">
        <w:rPr>
          <w:rFonts w:ascii="Times New Roman" w:hAnsi="Times New Roman"/>
          <w:sz w:val="26"/>
          <w:szCs w:val="26"/>
        </w:rPr>
        <w:t>- ул. Авиаторов, в районе д.23.</w:t>
      </w:r>
    </w:p>
    <w:p w:rsidR="00BF01B6" w:rsidRPr="00A13857" w:rsidRDefault="00BF01B6" w:rsidP="00A13857">
      <w:pPr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>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BF01B6" w:rsidRPr="00A13857" w:rsidRDefault="005673D1" w:rsidP="00A13857">
      <w:pPr>
        <w:pStyle w:val="ae"/>
        <w:spacing w:before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A13857">
        <w:rPr>
          <w:rFonts w:ascii="Times New Roman" w:hAnsi="Times New Roman"/>
          <w:iCs/>
          <w:sz w:val="26"/>
          <w:szCs w:val="26"/>
        </w:rPr>
        <w:t>В</w:t>
      </w:r>
      <w:r w:rsidR="00BF01B6" w:rsidRPr="00A13857">
        <w:rPr>
          <w:rFonts w:ascii="Times New Roman" w:hAnsi="Times New Roman"/>
          <w:iCs/>
          <w:sz w:val="26"/>
          <w:szCs w:val="26"/>
        </w:rPr>
        <w:t>опросы предоставления указанной поддержки субъектам малого и среднего предпринимательства относятся к компетенции органов местного самоуправления.</w:t>
      </w:r>
    </w:p>
    <w:p w:rsidR="00443B1F" w:rsidRPr="00A13857" w:rsidRDefault="00BF01B6" w:rsidP="00A13857">
      <w:pPr>
        <w:numPr>
          <w:ilvl w:val="0"/>
          <w:numId w:val="14"/>
        </w:numPr>
        <w:shd w:val="clear" w:color="auto" w:fill="FFFFFF"/>
        <w:tabs>
          <w:tab w:val="left" w:pos="993"/>
          <w:tab w:val="left" w:pos="1134"/>
        </w:tabs>
        <w:ind w:left="0" w:firstLine="709"/>
        <w:jc w:val="both"/>
        <w:rPr>
          <w:sz w:val="26"/>
          <w:szCs w:val="26"/>
        </w:rPr>
      </w:pPr>
      <w:r w:rsidRPr="00A13857">
        <w:rPr>
          <w:sz w:val="26"/>
          <w:szCs w:val="26"/>
        </w:rPr>
        <w:t xml:space="preserve">В период проведения публичных консультаций в адрес Администрации муниципального образования "Городской округ "Город Нарьян-Мар" по проекту акта </w:t>
      </w:r>
      <w:r w:rsidR="005673D1" w:rsidRPr="00A13857">
        <w:rPr>
          <w:sz w:val="26"/>
          <w:szCs w:val="26"/>
        </w:rPr>
        <w:t>поступил один отзыв</w:t>
      </w:r>
      <w:r w:rsidR="00B21233">
        <w:rPr>
          <w:sz w:val="26"/>
          <w:szCs w:val="26"/>
        </w:rPr>
        <w:t>,</w:t>
      </w:r>
      <w:r w:rsidR="005673D1" w:rsidRPr="00A13857">
        <w:rPr>
          <w:sz w:val="26"/>
          <w:szCs w:val="26"/>
        </w:rPr>
        <w:t xml:space="preserve"> </w:t>
      </w:r>
      <w:r w:rsidR="00B21233">
        <w:rPr>
          <w:sz w:val="26"/>
          <w:szCs w:val="26"/>
        </w:rPr>
        <w:t>в котором</w:t>
      </w:r>
      <w:r w:rsidR="005673D1" w:rsidRPr="00A13857">
        <w:rPr>
          <w:sz w:val="26"/>
          <w:szCs w:val="26"/>
        </w:rPr>
        <w:t xml:space="preserve"> отсутств</w:t>
      </w:r>
      <w:r w:rsidR="00B21233">
        <w:rPr>
          <w:sz w:val="26"/>
          <w:szCs w:val="26"/>
        </w:rPr>
        <w:t>уют</w:t>
      </w:r>
      <w:r w:rsidR="005673D1" w:rsidRPr="00A13857">
        <w:rPr>
          <w:sz w:val="26"/>
          <w:szCs w:val="26"/>
        </w:rPr>
        <w:t xml:space="preserve"> предложени</w:t>
      </w:r>
      <w:r w:rsidR="00B21233">
        <w:rPr>
          <w:sz w:val="26"/>
          <w:szCs w:val="26"/>
        </w:rPr>
        <w:t>я</w:t>
      </w:r>
      <w:r w:rsidR="005673D1" w:rsidRPr="00A13857">
        <w:rPr>
          <w:sz w:val="26"/>
          <w:szCs w:val="26"/>
        </w:rPr>
        <w:t xml:space="preserve"> и замечани</w:t>
      </w:r>
      <w:r w:rsidR="00B21233">
        <w:rPr>
          <w:sz w:val="26"/>
          <w:szCs w:val="26"/>
        </w:rPr>
        <w:t>я</w:t>
      </w:r>
      <w:r w:rsidRPr="00A13857">
        <w:rPr>
          <w:sz w:val="26"/>
          <w:szCs w:val="26"/>
        </w:rPr>
        <w:t>.</w:t>
      </w:r>
      <w:r w:rsidR="00147E6C" w:rsidRPr="00A13857">
        <w:rPr>
          <w:sz w:val="26"/>
          <w:szCs w:val="26"/>
        </w:rPr>
        <w:t xml:space="preserve"> </w:t>
      </w:r>
    </w:p>
    <w:p w:rsidR="00BF01B6" w:rsidRPr="00A13857" w:rsidRDefault="00BF01B6" w:rsidP="00A13857">
      <w:pPr>
        <w:pStyle w:val="ConsPlusNonformat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13857">
        <w:rPr>
          <w:rFonts w:ascii="Times New Roman" w:hAnsi="Times New Roman" w:cs="Times New Roman"/>
          <w:sz w:val="26"/>
          <w:szCs w:val="26"/>
        </w:rPr>
        <w:t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их введению, а также положений, способствующих возникновению необоснованных расходов субъектов малого и среднего предпринимательства и из бюджета МО "Городской округ "Город Нарьян-Мар".</w:t>
      </w:r>
    </w:p>
    <w:p w:rsidR="007F02CB" w:rsidRPr="00A13857" w:rsidRDefault="007F02CB" w:rsidP="00A13857">
      <w:pPr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</w:p>
    <w:tbl>
      <w:tblPr>
        <w:tblW w:w="10215" w:type="dxa"/>
        <w:tblLook w:val="0000"/>
      </w:tblPr>
      <w:tblGrid>
        <w:gridCol w:w="5211"/>
        <w:gridCol w:w="5004"/>
      </w:tblGrid>
      <w:tr w:rsidR="000B7F09" w:rsidRPr="00A13857" w:rsidTr="005C2702">
        <w:tc>
          <w:tcPr>
            <w:tcW w:w="5211" w:type="dxa"/>
          </w:tcPr>
          <w:p w:rsidR="000B7F09" w:rsidRPr="00A13857" w:rsidRDefault="007F02CB" w:rsidP="00A1385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13857">
              <w:rPr>
                <w:sz w:val="26"/>
                <w:szCs w:val="26"/>
              </w:rPr>
              <w:t xml:space="preserve">Начальник отдела инвестиционной политики и предпринимательства </w:t>
            </w:r>
            <w:r w:rsidR="000B7F09" w:rsidRPr="00A13857">
              <w:rPr>
                <w:sz w:val="26"/>
                <w:szCs w:val="26"/>
              </w:rPr>
              <w:t>управления экономического и инвестиционного развития</w:t>
            </w:r>
            <w:r w:rsidR="00612D64" w:rsidRPr="00A13857">
              <w:rPr>
                <w:sz w:val="26"/>
                <w:szCs w:val="26"/>
              </w:rPr>
              <w:t xml:space="preserve"> Администрации МО "Городской округ </w:t>
            </w:r>
            <w:r w:rsidR="00062CEC" w:rsidRPr="00A13857">
              <w:rPr>
                <w:sz w:val="26"/>
                <w:szCs w:val="26"/>
              </w:rPr>
              <w:t>"Город Нарьян-М</w:t>
            </w:r>
            <w:r w:rsidR="00612D64" w:rsidRPr="00A13857">
              <w:rPr>
                <w:sz w:val="26"/>
                <w:szCs w:val="26"/>
              </w:rPr>
              <w:t>ар"</w:t>
            </w:r>
          </w:p>
        </w:tc>
        <w:tc>
          <w:tcPr>
            <w:tcW w:w="5004" w:type="dxa"/>
            <w:vAlign w:val="bottom"/>
          </w:tcPr>
          <w:p w:rsidR="00EF25C8" w:rsidRPr="00A13857" w:rsidRDefault="00EF25C8" w:rsidP="00A13857">
            <w:pPr>
              <w:autoSpaceDE w:val="0"/>
              <w:autoSpaceDN w:val="0"/>
              <w:adjustRightInd w:val="0"/>
              <w:ind w:firstLine="426"/>
              <w:jc w:val="right"/>
              <w:rPr>
                <w:sz w:val="26"/>
                <w:szCs w:val="26"/>
              </w:rPr>
            </w:pPr>
          </w:p>
          <w:p w:rsidR="00EF25C8" w:rsidRPr="00A13857" w:rsidRDefault="00EF25C8" w:rsidP="00A13857">
            <w:pPr>
              <w:autoSpaceDE w:val="0"/>
              <w:autoSpaceDN w:val="0"/>
              <w:adjustRightInd w:val="0"/>
              <w:ind w:firstLine="426"/>
              <w:jc w:val="right"/>
              <w:rPr>
                <w:sz w:val="26"/>
                <w:szCs w:val="26"/>
              </w:rPr>
            </w:pPr>
          </w:p>
          <w:p w:rsidR="00EF25C8" w:rsidRPr="00A13857" w:rsidRDefault="007F02CB" w:rsidP="00A13857">
            <w:pPr>
              <w:autoSpaceDE w:val="0"/>
              <w:autoSpaceDN w:val="0"/>
              <w:adjustRightInd w:val="0"/>
              <w:ind w:firstLine="426"/>
              <w:jc w:val="right"/>
              <w:rPr>
                <w:sz w:val="26"/>
                <w:szCs w:val="26"/>
              </w:rPr>
            </w:pPr>
            <w:proofErr w:type="spellStart"/>
            <w:r w:rsidRPr="00A13857">
              <w:rPr>
                <w:sz w:val="26"/>
                <w:szCs w:val="26"/>
              </w:rPr>
              <w:t>В.С.Оленицкая</w:t>
            </w:r>
            <w:proofErr w:type="spellEnd"/>
          </w:p>
        </w:tc>
      </w:tr>
    </w:tbl>
    <w:p w:rsidR="004511CA" w:rsidRPr="00A13857" w:rsidRDefault="004511CA" w:rsidP="00A13857">
      <w:pPr>
        <w:pStyle w:val="ConsPlusNonformat"/>
        <w:widowControl/>
        <w:ind w:firstLine="426"/>
        <w:rPr>
          <w:rFonts w:ascii="Times New Roman" w:hAnsi="Times New Roman" w:cs="Times New Roman"/>
          <w:sz w:val="26"/>
          <w:szCs w:val="26"/>
        </w:rPr>
      </w:pPr>
    </w:p>
    <w:sectPr w:rsidR="004511CA" w:rsidRPr="00A13857" w:rsidSect="006B2F6D">
      <w:headerReference w:type="even" r:id="rId9"/>
      <w:headerReference w:type="default" r:id="rId10"/>
      <w:headerReference w:type="first" r:id="rId11"/>
      <w:type w:val="continuous"/>
      <w:pgSz w:w="11906" w:h="16838"/>
      <w:pgMar w:top="567" w:right="567" w:bottom="567" w:left="1134" w:header="53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E9B" w:rsidRDefault="00BE7E9B">
      <w:r>
        <w:separator/>
      </w:r>
    </w:p>
  </w:endnote>
  <w:endnote w:type="continuationSeparator" w:id="0">
    <w:p w:rsidR="00BE7E9B" w:rsidRDefault="00BE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E9B" w:rsidRDefault="00BE7E9B">
      <w:r>
        <w:separator/>
      </w:r>
    </w:p>
  </w:footnote>
  <w:footnote w:type="continuationSeparator" w:id="0">
    <w:p w:rsidR="00BE7E9B" w:rsidRDefault="00BE7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9B" w:rsidRDefault="00BE7E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E9B" w:rsidRDefault="00BE7E9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9B" w:rsidRDefault="00BE7E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C0185">
      <w:rPr>
        <w:rStyle w:val="a5"/>
        <w:noProof/>
      </w:rPr>
      <w:t>2</w:t>
    </w:r>
    <w:r>
      <w:rPr>
        <w:rStyle w:val="a5"/>
      </w:rPr>
      <w:fldChar w:fldCharType="end"/>
    </w:r>
  </w:p>
  <w:p w:rsidR="00BE7E9B" w:rsidRDefault="00BE7E9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E9B" w:rsidRDefault="00BE7E9B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E7E9B" w:rsidRDefault="00BE7E9B">
    <w:pPr>
      <w:pStyle w:val="1"/>
      <w:tabs>
        <w:tab w:val="center" w:pos="5314"/>
      </w:tabs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  </w:t>
    </w:r>
    <w:r>
      <w:rPr>
        <w:color w:val="333333"/>
        <w:sz w:val="24"/>
        <w:szCs w:val="24"/>
      </w:rPr>
      <w:tab/>
    </w:r>
    <w:r>
      <w:rPr>
        <w:color w:val="333333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54pt;margin-top:-36pt;width:117pt;height:27pt;z-index:251657216;mso-position-horizontal-relative:text;mso-position-vertical-relative:text" filled="f" stroked="f">
          <v:textbox style="mso-next-textbox:#_x0000_s2051">
            <w:txbxContent>
              <w:p w:rsidR="00BE7E9B" w:rsidRDefault="00BE7E9B">
                <w:pPr>
                  <w:jc w:val="right"/>
                  <w:rPr>
                    <w:sz w:val="26"/>
                    <w:szCs w:val="26"/>
                  </w:rPr>
                </w:pPr>
              </w:p>
            </w:txbxContent>
          </v:textbox>
        </v:shape>
      </w:pict>
    </w:r>
    <w:r>
      <w:rPr>
        <w:color w:val="333333"/>
        <w:sz w:val="24"/>
        <w:szCs w:val="24"/>
      </w:rPr>
      <w:t xml:space="preserve"> </w:t>
    </w:r>
  </w:p>
  <w:p w:rsidR="00BE7E9B" w:rsidRDefault="00BE7E9B">
    <w:pPr>
      <w:pStyle w:val="1"/>
      <w:jc w:val="center"/>
      <w:rPr>
        <w:sz w:val="24"/>
        <w:szCs w:val="24"/>
      </w:rPr>
    </w:pPr>
  </w:p>
  <w:p w:rsidR="00BE7E9B" w:rsidRDefault="00BE7E9B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 xml:space="preserve"> 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BE7E9B" w:rsidRDefault="00BE7E9B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 xml:space="preserve"> "Городской округ "Город Нарьян-Мар"</w:t>
    </w:r>
  </w:p>
  <w:p w:rsidR="00BE7E9B" w:rsidRDefault="00BE7E9B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BE7E9B" w:rsidRDefault="00BE7E9B">
    <w:pPr>
      <w:jc w:val="center"/>
      <w:rPr>
        <w:color w:val="333333"/>
        <w:sz w:val="20"/>
        <w:szCs w:val="20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 xml:space="preserve">. Нарьян-Мар, ул. Ленина, д.12. тел.(818 53) 4-25-81, факс 4-99-71, </w:t>
    </w:r>
    <w:r>
      <w:rPr>
        <w:color w:val="333333"/>
        <w:sz w:val="20"/>
        <w:szCs w:val="20"/>
        <w:lang w:val="en-US"/>
      </w:rPr>
      <w:t>e</w:t>
    </w:r>
    <w:r>
      <w:rPr>
        <w:color w:val="333333"/>
        <w:sz w:val="20"/>
        <w:szCs w:val="20"/>
      </w:rPr>
      <w:t>-</w:t>
    </w:r>
    <w:r>
      <w:rPr>
        <w:color w:val="333333"/>
        <w:sz w:val="20"/>
        <w:szCs w:val="20"/>
        <w:lang w:val="en-US"/>
      </w:rPr>
      <w:t>mail</w:t>
    </w:r>
    <w:r>
      <w:rPr>
        <w:color w:val="333333"/>
        <w:sz w:val="20"/>
        <w:szCs w:val="20"/>
      </w:rPr>
      <w:t xml:space="preserve">: </w:t>
    </w:r>
    <w:proofErr w:type="spellStart"/>
    <w:r>
      <w:rPr>
        <w:color w:val="333333"/>
        <w:sz w:val="20"/>
        <w:szCs w:val="20"/>
        <w:lang w:val="en-US"/>
      </w:rPr>
      <w:t>goradm</w:t>
    </w:r>
    <w:proofErr w:type="spellEnd"/>
    <w:r>
      <w:rPr>
        <w:color w:val="333333"/>
        <w:sz w:val="20"/>
        <w:szCs w:val="20"/>
      </w:rPr>
      <w:t>@</w:t>
    </w:r>
    <w:proofErr w:type="spellStart"/>
    <w:r>
      <w:rPr>
        <w:color w:val="333333"/>
        <w:sz w:val="20"/>
        <w:szCs w:val="20"/>
        <w:lang w:val="en-US"/>
      </w:rPr>
      <w:t>adm</w:t>
    </w:r>
    <w:proofErr w:type="spellEnd"/>
    <w:r w:rsidRPr="002A51E0">
      <w:rPr>
        <w:color w:val="333333"/>
        <w:sz w:val="20"/>
        <w:szCs w:val="20"/>
      </w:rPr>
      <w:t>-</w:t>
    </w:r>
    <w:proofErr w:type="spellStart"/>
    <w:r>
      <w:rPr>
        <w:color w:val="333333"/>
        <w:sz w:val="20"/>
        <w:szCs w:val="20"/>
        <w:lang w:val="en-US"/>
      </w:rPr>
      <w:t>nmar</w:t>
    </w:r>
    <w:proofErr w:type="spellEnd"/>
    <w:r>
      <w:rPr>
        <w:color w:val="333333"/>
        <w:sz w:val="20"/>
        <w:szCs w:val="20"/>
      </w:rPr>
      <w:t>.</w:t>
    </w:r>
    <w:proofErr w:type="spellStart"/>
    <w:r>
      <w:rPr>
        <w:color w:val="333333"/>
        <w:sz w:val="20"/>
        <w:szCs w:val="20"/>
        <w:lang w:val="en-US"/>
      </w:rPr>
      <w:t>ru</w:t>
    </w:r>
    <w:proofErr w:type="spellEnd"/>
  </w:p>
  <w:p w:rsidR="00BE7E9B" w:rsidRDefault="00BE7E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5656F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4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5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13"/>
  </w:num>
  <w:num w:numId="10">
    <w:abstractNumId w:val="16"/>
  </w:num>
  <w:num w:numId="11">
    <w:abstractNumId w:val="9"/>
  </w:num>
  <w:num w:numId="12">
    <w:abstractNumId w:val="7"/>
  </w:num>
  <w:num w:numId="13">
    <w:abstractNumId w:val="4"/>
  </w:num>
  <w:num w:numId="14">
    <w:abstractNumId w:val="12"/>
  </w:num>
  <w:num w:numId="15">
    <w:abstractNumId w:val="14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2F0B"/>
    <w:rsid w:val="00045F22"/>
    <w:rsid w:val="0005623E"/>
    <w:rsid w:val="00057324"/>
    <w:rsid w:val="00062CEC"/>
    <w:rsid w:val="000633CE"/>
    <w:rsid w:val="0006458C"/>
    <w:rsid w:val="00065D50"/>
    <w:rsid w:val="00072AE9"/>
    <w:rsid w:val="00074B7F"/>
    <w:rsid w:val="00075195"/>
    <w:rsid w:val="00080708"/>
    <w:rsid w:val="0008145F"/>
    <w:rsid w:val="00092A8E"/>
    <w:rsid w:val="00092BF1"/>
    <w:rsid w:val="000A1EB6"/>
    <w:rsid w:val="000B1DA0"/>
    <w:rsid w:val="000B3F9C"/>
    <w:rsid w:val="000B5062"/>
    <w:rsid w:val="000B7F09"/>
    <w:rsid w:val="000C49DA"/>
    <w:rsid w:val="000E341A"/>
    <w:rsid w:val="000E3752"/>
    <w:rsid w:val="00100301"/>
    <w:rsid w:val="0010399C"/>
    <w:rsid w:val="001040C8"/>
    <w:rsid w:val="00106F34"/>
    <w:rsid w:val="00110812"/>
    <w:rsid w:val="00111319"/>
    <w:rsid w:val="00143F2B"/>
    <w:rsid w:val="001466DE"/>
    <w:rsid w:val="00147E6C"/>
    <w:rsid w:val="001564C6"/>
    <w:rsid w:val="001610C6"/>
    <w:rsid w:val="00161C46"/>
    <w:rsid w:val="00174ABC"/>
    <w:rsid w:val="00180DC6"/>
    <w:rsid w:val="0018332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76D8"/>
    <w:rsid w:val="002123BB"/>
    <w:rsid w:val="002133C4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8069B"/>
    <w:rsid w:val="0028187D"/>
    <w:rsid w:val="00286E57"/>
    <w:rsid w:val="002A2FEE"/>
    <w:rsid w:val="002A3966"/>
    <w:rsid w:val="002A51E0"/>
    <w:rsid w:val="002A5B40"/>
    <w:rsid w:val="002B0B78"/>
    <w:rsid w:val="002B248E"/>
    <w:rsid w:val="002B401E"/>
    <w:rsid w:val="002C1C6F"/>
    <w:rsid w:val="002D0392"/>
    <w:rsid w:val="002F291A"/>
    <w:rsid w:val="002F5B00"/>
    <w:rsid w:val="00317BC3"/>
    <w:rsid w:val="00321973"/>
    <w:rsid w:val="00354139"/>
    <w:rsid w:val="003544C5"/>
    <w:rsid w:val="00357E76"/>
    <w:rsid w:val="0036141D"/>
    <w:rsid w:val="00370CCF"/>
    <w:rsid w:val="00384D4F"/>
    <w:rsid w:val="00387667"/>
    <w:rsid w:val="00392414"/>
    <w:rsid w:val="003950A8"/>
    <w:rsid w:val="003C632A"/>
    <w:rsid w:val="003C7FF9"/>
    <w:rsid w:val="003D445E"/>
    <w:rsid w:val="003E0F6B"/>
    <w:rsid w:val="003E10A4"/>
    <w:rsid w:val="003E3F00"/>
    <w:rsid w:val="003E3F39"/>
    <w:rsid w:val="003F1DE7"/>
    <w:rsid w:val="00403915"/>
    <w:rsid w:val="00403B07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359F1"/>
    <w:rsid w:val="00536E80"/>
    <w:rsid w:val="005377A4"/>
    <w:rsid w:val="00543483"/>
    <w:rsid w:val="00543613"/>
    <w:rsid w:val="00543D2D"/>
    <w:rsid w:val="00545115"/>
    <w:rsid w:val="00565B63"/>
    <w:rsid w:val="005673D1"/>
    <w:rsid w:val="00570403"/>
    <w:rsid w:val="00570C5F"/>
    <w:rsid w:val="00571CC2"/>
    <w:rsid w:val="00581731"/>
    <w:rsid w:val="00585ACC"/>
    <w:rsid w:val="00586C51"/>
    <w:rsid w:val="005A2436"/>
    <w:rsid w:val="005A3CBC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4425"/>
    <w:rsid w:val="00646245"/>
    <w:rsid w:val="00652458"/>
    <w:rsid w:val="00652BEF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B240C"/>
    <w:rsid w:val="006B2F6D"/>
    <w:rsid w:val="006E0BF9"/>
    <w:rsid w:val="006E4F19"/>
    <w:rsid w:val="006E75C0"/>
    <w:rsid w:val="006E7DB6"/>
    <w:rsid w:val="006F04DD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31D86"/>
    <w:rsid w:val="007401B6"/>
    <w:rsid w:val="00743E03"/>
    <w:rsid w:val="007613E9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185"/>
    <w:rsid w:val="007C0454"/>
    <w:rsid w:val="007C23C0"/>
    <w:rsid w:val="007C24D3"/>
    <w:rsid w:val="007D6107"/>
    <w:rsid w:val="007E03AD"/>
    <w:rsid w:val="007F02CB"/>
    <w:rsid w:val="007F499F"/>
    <w:rsid w:val="007F5A29"/>
    <w:rsid w:val="007F7569"/>
    <w:rsid w:val="008110A4"/>
    <w:rsid w:val="00823057"/>
    <w:rsid w:val="00823659"/>
    <w:rsid w:val="008341AC"/>
    <w:rsid w:val="008359DD"/>
    <w:rsid w:val="00856272"/>
    <w:rsid w:val="00864F3D"/>
    <w:rsid w:val="00864FFC"/>
    <w:rsid w:val="008660E9"/>
    <w:rsid w:val="00874D60"/>
    <w:rsid w:val="00875E2B"/>
    <w:rsid w:val="0087738C"/>
    <w:rsid w:val="008A3BC7"/>
    <w:rsid w:val="008A58CF"/>
    <w:rsid w:val="008C2EF6"/>
    <w:rsid w:val="008C494C"/>
    <w:rsid w:val="008C523C"/>
    <w:rsid w:val="008C54C8"/>
    <w:rsid w:val="008D7056"/>
    <w:rsid w:val="008E7FF0"/>
    <w:rsid w:val="008F6293"/>
    <w:rsid w:val="008F7901"/>
    <w:rsid w:val="009078B0"/>
    <w:rsid w:val="00930D39"/>
    <w:rsid w:val="00946EE3"/>
    <w:rsid w:val="009509DA"/>
    <w:rsid w:val="009629CB"/>
    <w:rsid w:val="00966314"/>
    <w:rsid w:val="00967D51"/>
    <w:rsid w:val="009937BF"/>
    <w:rsid w:val="00995CE6"/>
    <w:rsid w:val="00996AB1"/>
    <w:rsid w:val="009A0C51"/>
    <w:rsid w:val="009A1D55"/>
    <w:rsid w:val="009A44C4"/>
    <w:rsid w:val="009A7CA7"/>
    <w:rsid w:val="009B2129"/>
    <w:rsid w:val="009B6915"/>
    <w:rsid w:val="009C3750"/>
    <w:rsid w:val="009C4D90"/>
    <w:rsid w:val="009D2188"/>
    <w:rsid w:val="009E15A3"/>
    <w:rsid w:val="009E3736"/>
    <w:rsid w:val="009E3B30"/>
    <w:rsid w:val="009F0343"/>
    <w:rsid w:val="009F34C1"/>
    <w:rsid w:val="009F4EA9"/>
    <w:rsid w:val="009F7524"/>
    <w:rsid w:val="00A03353"/>
    <w:rsid w:val="00A13857"/>
    <w:rsid w:val="00A15957"/>
    <w:rsid w:val="00A16A1B"/>
    <w:rsid w:val="00A231A6"/>
    <w:rsid w:val="00A368CE"/>
    <w:rsid w:val="00A4410F"/>
    <w:rsid w:val="00A44706"/>
    <w:rsid w:val="00A5109D"/>
    <w:rsid w:val="00A5683C"/>
    <w:rsid w:val="00A71966"/>
    <w:rsid w:val="00A74ABA"/>
    <w:rsid w:val="00A82F95"/>
    <w:rsid w:val="00A8548F"/>
    <w:rsid w:val="00A90EEE"/>
    <w:rsid w:val="00A90F4F"/>
    <w:rsid w:val="00A936DA"/>
    <w:rsid w:val="00A977F4"/>
    <w:rsid w:val="00AB524B"/>
    <w:rsid w:val="00AD5EA9"/>
    <w:rsid w:val="00AD6EBF"/>
    <w:rsid w:val="00AE6BBD"/>
    <w:rsid w:val="00AE6D10"/>
    <w:rsid w:val="00AF2935"/>
    <w:rsid w:val="00AF43FA"/>
    <w:rsid w:val="00B04EB8"/>
    <w:rsid w:val="00B07FD4"/>
    <w:rsid w:val="00B13C3C"/>
    <w:rsid w:val="00B14B5D"/>
    <w:rsid w:val="00B21233"/>
    <w:rsid w:val="00B23D4A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1048"/>
    <w:rsid w:val="00B94D92"/>
    <w:rsid w:val="00BB1F1B"/>
    <w:rsid w:val="00BB4C40"/>
    <w:rsid w:val="00BC17DD"/>
    <w:rsid w:val="00BC18B9"/>
    <w:rsid w:val="00BC2CBE"/>
    <w:rsid w:val="00BC6932"/>
    <w:rsid w:val="00BD3A1C"/>
    <w:rsid w:val="00BE1E79"/>
    <w:rsid w:val="00BE7B02"/>
    <w:rsid w:val="00BE7E9B"/>
    <w:rsid w:val="00BF01B6"/>
    <w:rsid w:val="00BF38C7"/>
    <w:rsid w:val="00BF5F36"/>
    <w:rsid w:val="00BF7B22"/>
    <w:rsid w:val="00C04887"/>
    <w:rsid w:val="00C0742B"/>
    <w:rsid w:val="00C141F5"/>
    <w:rsid w:val="00C15D5E"/>
    <w:rsid w:val="00C22379"/>
    <w:rsid w:val="00C229F9"/>
    <w:rsid w:val="00C264FE"/>
    <w:rsid w:val="00C27AD0"/>
    <w:rsid w:val="00C313A1"/>
    <w:rsid w:val="00C4430B"/>
    <w:rsid w:val="00C53876"/>
    <w:rsid w:val="00C55817"/>
    <w:rsid w:val="00C613DA"/>
    <w:rsid w:val="00C64FE0"/>
    <w:rsid w:val="00C71D7B"/>
    <w:rsid w:val="00C7540E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304C"/>
    <w:rsid w:val="00D2327C"/>
    <w:rsid w:val="00D25078"/>
    <w:rsid w:val="00D262AC"/>
    <w:rsid w:val="00D30244"/>
    <w:rsid w:val="00D40E33"/>
    <w:rsid w:val="00D469A7"/>
    <w:rsid w:val="00D47DE2"/>
    <w:rsid w:val="00D51452"/>
    <w:rsid w:val="00D541B2"/>
    <w:rsid w:val="00D559BB"/>
    <w:rsid w:val="00D672D2"/>
    <w:rsid w:val="00D67945"/>
    <w:rsid w:val="00D764D4"/>
    <w:rsid w:val="00D76BC2"/>
    <w:rsid w:val="00D8079C"/>
    <w:rsid w:val="00D8233D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B53"/>
    <w:rsid w:val="00DE146E"/>
    <w:rsid w:val="00DF06B9"/>
    <w:rsid w:val="00DF1734"/>
    <w:rsid w:val="00DF776F"/>
    <w:rsid w:val="00E033D9"/>
    <w:rsid w:val="00E03802"/>
    <w:rsid w:val="00E159B5"/>
    <w:rsid w:val="00E17527"/>
    <w:rsid w:val="00E20B0A"/>
    <w:rsid w:val="00E20C3B"/>
    <w:rsid w:val="00E21B27"/>
    <w:rsid w:val="00E2435B"/>
    <w:rsid w:val="00E27CF3"/>
    <w:rsid w:val="00E312EE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70A67"/>
    <w:rsid w:val="00E72D5E"/>
    <w:rsid w:val="00E72EC5"/>
    <w:rsid w:val="00E767C3"/>
    <w:rsid w:val="00E778CC"/>
    <w:rsid w:val="00E81C5D"/>
    <w:rsid w:val="00E81EBC"/>
    <w:rsid w:val="00E85222"/>
    <w:rsid w:val="00E8779B"/>
    <w:rsid w:val="00E9286D"/>
    <w:rsid w:val="00E93132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2D22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4BCF"/>
    <w:rsid w:val="00F7371E"/>
    <w:rsid w:val="00F7773E"/>
    <w:rsid w:val="00F80324"/>
    <w:rsid w:val="00F91745"/>
    <w:rsid w:val="00F93CF6"/>
    <w:rsid w:val="00F9407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uiPriority w:val="99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3D50B9E46B73CBCAC9B1E356D542397F5E66500DEFADB49DE194FED1C1826417C515D50F150C109FF30395B12C05F7CDC3545B6215E7118F5A89K8T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EA1CB15-9C5A-447E-B59D-7852A1CD3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2</Pages>
  <Words>680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5701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Ekonom3</cp:lastModifiedBy>
  <cp:revision>171</cp:revision>
  <cp:lastPrinted>2020-03-05T07:48:00Z</cp:lastPrinted>
  <dcterms:created xsi:type="dcterms:W3CDTF">2017-05-24T05:40:00Z</dcterms:created>
  <dcterms:modified xsi:type="dcterms:W3CDTF">2020-03-05T13:57:00Z</dcterms:modified>
</cp:coreProperties>
</file>