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0CE6" w14:textId="77777777" w:rsidR="00693A56" w:rsidRPr="006434C1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34C1">
        <w:rPr>
          <w:sz w:val="26"/>
          <w:szCs w:val="26"/>
        </w:rPr>
        <w:t>Заключение</w:t>
      </w:r>
    </w:p>
    <w:p w14:paraId="5B51659F" w14:textId="77777777" w:rsidR="00A838B0" w:rsidRDefault="009E15A3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6434C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6434C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6434C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6434C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6434C1">
        <w:rPr>
          <w:rFonts w:ascii="Times New Roman" w:hAnsi="Times New Roman" w:cs="Times New Roman"/>
          <w:sz w:val="26"/>
          <w:szCs w:val="26"/>
        </w:rPr>
        <w:t>"</w:t>
      </w:r>
      <w:r w:rsidR="001C2E76" w:rsidRPr="006434C1">
        <w:rPr>
          <w:rFonts w:ascii="Times New Roman" w:hAnsi="Times New Roman" w:cs="Times New Roman"/>
          <w:sz w:val="26"/>
          <w:szCs w:val="26"/>
        </w:rPr>
        <w:t>Гор</w:t>
      </w:r>
      <w:r w:rsidR="00652458" w:rsidRPr="006434C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14:paraId="33D193B2" w14:textId="3C7C2DD9" w:rsidR="00F50593" w:rsidRPr="004D619B" w:rsidRDefault="00A838B0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619B">
        <w:rPr>
          <w:rFonts w:ascii="Times New Roman" w:hAnsi="Times New Roman" w:cs="Times New Roman"/>
          <w:sz w:val="26"/>
          <w:szCs w:val="26"/>
        </w:rPr>
        <w:t>"</w:t>
      </w:r>
      <w:r w:rsidR="004D619B" w:rsidRPr="004D619B">
        <w:rPr>
          <w:rFonts w:ascii="Times New Roman" w:hAnsi="Times New Roman" w:cs="Times New Roman"/>
          <w:sz w:val="26"/>
          <w:szCs w:val="26"/>
        </w:rPr>
        <w:t>О внесении изменения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</w:r>
      <w:r w:rsidRPr="004D619B">
        <w:rPr>
          <w:rFonts w:ascii="Times New Roman" w:hAnsi="Times New Roman" w:cs="Times New Roman"/>
          <w:sz w:val="26"/>
          <w:szCs w:val="26"/>
        </w:rPr>
        <w:t>"</w:t>
      </w:r>
    </w:p>
    <w:p w14:paraId="3D02BA7E" w14:textId="77777777" w:rsidR="00A838B0" w:rsidRPr="00A838B0" w:rsidRDefault="00A838B0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A1BEFD4" w14:textId="32A3D7E2" w:rsidR="00171833" w:rsidRPr="00F819DD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A838B0" w:rsidRPr="00F819D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819DD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F819DD">
        <w:rPr>
          <w:rFonts w:ascii="Times New Roman" w:hAnsi="Times New Roman" w:cs="Times New Roman"/>
          <w:sz w:val="26"/>
          <w:szCs w:val="26"/>
        </w:rPr>
        <w:br/>
      </w:r>
      <w:r w:rsidRPr="00F819DD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</w:t>
      </w:r>
      <w:r w:rsidR="00F819DD">
        <w:rPr>
          <w:rFonts w:ascii="Times New Roman" w:hAnsi="Times New Roman" w:cs="Times New Roman"/>
          <w:sz w:val="26"/>
          <w:szCs w:val="26"/>
        </w:rPr>
        <w:br/>
      </w:r>
      <w:r w:rsidRPr="00F819DD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постановления Администрации муниципального образования "Городской округ "Город Нарьян-Мар" </w:t>
      </w:r>
      <w:r w:rsidR="00A838B0" w:rsidRPr="004D619B">
        <w:rPr>
          <w:rFonts w:ascii="Times New Roman" w:hAnsi="Times New Roman" w:cs="Times New Roman"/>
          <w:sz w:val="26"/>
          <w:szCs w:val="26"/>
        </w:rPr>
        <w:t>"</w:t>
      </w:r>
      <w:r w:rsidR="004D619B" w:rsidRPr="004D619B">
        <w:rPr>
          <w:rFonts w:ascii="Times New Roman" w:hAnsi="Times New Roman" w:cs="Times New Roman"/>
          <w:sz w:val="26"/>
          <w:szCs w:val="26"/>
        </w:rPr>
        <w:t>О внесении изменения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</w:r>
      <w:r w:rsidR="00A838B0" w:rsidRPr="00B91D56">
        <w:rPr>
          <w:rFonts w:ascii="Times New Roman" w:hAnsi="Times New Roman" w:cs="Times New Roman"/>
          <w:sz w:val="26"/>
          <w:szCs w:val="26"/>
        </w:rPr>
        <w:t xml:space="preserve">" </w:t>
      </w:r>
      <w:r w:rsidRPr="00B91D56">
        <w:rPr>
          <w:rFonts w:ascii="Times New Roman" w:hAnsi="Times New Roman" w:cs="Times New Roman"/>
          <w:sz w:val="26"/>
          <w:szCs w:val="26"/>
        </w:rPr>
        <w:t>(</w:t>
      </w:r>
      <w:r w:rsidRPr="00F819DD">
        <w:rPr>
          <w:rFonts w:ascii="Times New Roman" w:hAnsi="Times New Roman" w:cs="Times New Roman"/>
          <w:sz w:val="26"/>
          <w:szCs w:val="26"/>
        </w:rPr>
        <w:t>далее – проект постановления), в результате чего установлено следующее.</w:t>
      </w:r>
    </w:p>
    <w:p w14:paraId="6CCC5B86" w14:textId="77777777" w:rsidR="00171833" w:rsidRPr="00F819DD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14:paraId="76E016C4" w14:textId="0C506495" w:rsidR="00F50593" w:rsidRPr="00F819DD" w:rsidRDefault="00171833" w:rsidP="00F50593">
      <w:pPr>
        <w:ind w:firstLine="595"/>
        <w:jc w:val="both"/>
        <w:rPr>
          <w:bCs/>
          <w:sz w:val="26"/>
          <w:szCs w:val="26"/>
        </w:rPr>
      </w:pPr>
      <w:r w:rsidRPr="00F819DD">
        <w:rPr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B91D56" w:rsidRPr="00D85552">
        <w:rPr>
          <w:sz w:val="26"/>
          <w:szCs w:val="26"/>
        </w:rPr>
        <w:t xml:space="preserve">Департамент финансов и экономики Ненецкого автономного округа, Прокуратуру Ненецкого автономного округа, </w:t>
      </w:r>
      <w:r w:rsidR="00B91D56" w:rsidRPr="00D85552">
        <w:rPr>
          <w:sz w:val="26"/>
          <w:szCs w:val="26"/>
        </w:rPr>
        <w:lastRenderedPageBreak/>
        <w:t xml:space="preserve">Уполномоченному по защите предпринимателей в Ненецком автономном округе, </w:t>
      </w:r>
      <w:r w:rsidR="00B91D56">
        <w:rPr>
          <w:sz w:val="26"/>
          <w:szCs w:val="26"/>
        </w:rPr>
        <w:br/>
      </w:r>
      <w:r w:rsidR="00B91D56" w:rsidRPr="00D85552">
        <w:rPr>
          <w:bCs/>
          <w:sz w:val="26"/>
          <w:szCs w:val="26"/>
        </w:rPr>
        <w:t xml:space="preserve">АО "Центр развития бизнеса НАО", </w:t>
      </w:r>
      <w:r w:rsidR="00B91D56">
        <w:rPr>
          <w:bCs/>
          <w:sz w:val="26"/>
          <w:szCs w:val="26"/>
        </w:rPr>
        <w:t xml:space="preserve">ООО </w:t>
      </w:r>
      <w:proofErr w:type="spellStart"/>
      <w:r w:rsidR="00B91D56">
        <w:rPr>
          <w:bCs/>
          <w:sz w:val="26"/>
          <w:szCs w:val="26"/>
        </w:rPr>
        <w:t>МиСП</w:t>
      </w:r>
      <w:proofErr w:type="spellEnd"/>
      <w:r w:rsidR="00B91D56">
        <w:rPr>
          <w:bCs/>
          <w:sz w:val="26"/>
          <w:szCs w:val="26"/>
        </w:rPr>
        <w:t xml:space="preserve"> "ОПОРА РОССИИ", </w:t>
      </w:r>
      <w:r w:rsidR="00B91D56" w:rsidRPr="00D85552">
        <w:rPr>
          <w:bCs/>
          <w:sz w:val="26"/>
          <w:szCs w:val="26"/>
        </w:rPr>
        <w:t>ИП</w:t>
      </w:r>
      <w:r w:rsidR="00B91D56">
        <w:rPr>
          <w:bCs/>
          <w:sz w:val="26"/>
          <w:szCs w:val="26"/>
        </w:rPr>
        <w:t xml:space="preserve"> </w:t>
      </w:r>
      <w:proofErr w:type="spellStart"/>
      <w:r w:rsidR="00B91D56">
        <w:rPr>
          <w:bCs/>
          <w:sz w:val="26"/>
          <w:szCs w:val="26"/>
        </w:rPr>
        <w:t>Балабанович</w:t>
      </w:r>
      <w:proofErr w:type="spellEnd"/>
      <w:r w:rsidR="00B91D56">
        <w:rPr>
          <w:bCs/>
          <w:sz w:val="26"/>
          <w:szCs w:val="26"/>
        </w:rPr>
        <w:t xml:space="preserve"> Е.С., ИП Гаджиев М.А., ИП </w:t>
      </w:r>
      <w:proofErr w:type="spellStart"/>
      <w:r w:rsidR="00B91D56">
        <w:rPr>
          <w:bCs/>
          <w:sz w:val="26"/>
          <w:szCs w:val="26"/>
        </w:rPr>
        <w:t>Клюкинову</w:t>
      </w:r>
      <w:proofErr w:type="spellEnd"/>
      <w:r w:rsidR="00B91D56">
        <w:rPr>
          <w:bCs/>
          <w:sz w:val="26"/>
          <w:szCs w:val="26"/>
        </w:rPr>
        <w:t xml:space="preserve"> Е.Н., ИП Шестаковой М.А., ИП </w:t>
      </w:r>
      <w:proofErr w:type="spellStart"/>
      <w:r w:rsidR="00B91D56">
        <w:rPr>
          <w:bCs/>
          <w:sz w:val="26"/>
          <w:szCs w:val="26"/>
        </w:rPr>
        <w:t>Бебениной</w:t>
      </w:r>
      <w:proofErr w:type="spellEnd"/>
      <w:r w:rsidR="00B91D56">
        <w:rPr>
          <w:bCs/>
          <w:sz w:val="26"/>
          <w:szCs w:val="26"/>
        </w:rPr>
        <w:t xml:space="preserve"> А.В., СПК </w:t>
      </w:r>
      <w:proofErr w:type="spellStart"/>
      <w:r w:rsidR="00B91D56">
        <w:rPr>
          <w:bCs/>
          <w:sz w:val="26"/>
          <w:szCs w:val="26"/>
        </w:rPr>
        <w:t>Коопхоз</w:t>
      </w:r>
      <w:proofErr w:type="spellEnd"/>
      <w:r w:rsidR="00B91D56">
        <w:rPr>
          <w:bCs/>
          <w:sz w:val="26"/>
          <w:szCs w:val="26"/>
        </w:rPr>
        <w:t xml:space="preserve"> "</w:t>
      </w:r>
      <w:proofErr w:type="spellStart"/>
      <w:r w:rsidR="00B91D56">
        <w:rPr>
          <w:bCs/>
          <w:sz w:val="26"/>
          <w:szCs w:val="26"/>
        </w:rPr>
        <w:t>Ерв</w:t>
      </w:r>
      <w:proofErr w:type="spellEnd"/>
      <w:r w:rsidR="00B91D56">
        <w:rPr>
          <w:bCs/>
          <w:sz w:val="26"/>
          <w:szCs w:val="26"/>
        </w:rPr>
        <w:t xml:space="preserve">", ИП Джафарову Д.М., ИП Климову О.М., ИП </w:t>
      </w:r>
      <w:proofErr w:type="spellStart"/>
      <w:r w:rsidR="00B91D56">
        <w:rPr>
          <w:bCs/>
          <w:sz w:val="26"/>
          <w:szCs w:val="26"/>
        </w:rPr>
        <w:t>Магамедову</w:t>
      </w:r>
      <w:proofErr w:type="spellEnd"/>
      <w:r w:rsidR="00B91D56">
        <w:rPr>
          <w:bCs/>
          <w:sz w:val="26"/>
          <w:szCs w:val="26"/>
        </w:rPr>
        <w:t xml:space="preserve"> Г.А., ИП Петрову В.В., ИП </w:t>
      </w:r>
      <w:proofErr w:type="spellStart"/>
      <w:r w:rsidR="00B91D56">
        <w:rPr>
          <w:bCs/>
          <w:sz w:val="26"/>
          <w:szCs w:val="26"/>
        </w:rPr>
        <w:t>Садыгову</w:t>
      </w:r>
      <w:proofErr w:type="spellEnd"/>
      <w:r w:rsidR="00B91D56">
        <w:rPr>
          <w:bCs/>
          <w:sz w:val="26"/>
          <w:szCs w:val="26"/>
        </w:rPr>
        <w:t xml:space="preserve"> Х.М., ИП Сулейманову Э.И., КФХ Попову А.В., КФХ Семяшкину М.П., ООО Нептун.</w:t>
      </w:r>
    </w:p>
    <w:p w14:paraId="0DD65D69" w14:textId="5386E33B" w:rsidR="00171833" w:rsidRPr="00F819DD" w:rsidRDefault="00171833" w:rsidP="00F5059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 xml:space="preserve">3. В ходе подготовки настоящего заключения были проведены публичные консультации в сроки с </w:t>
      </w:r>
      <w:r w:rsidR="00B91D56">
        <w:rPr>
          <w:rFonts w:ascii="Times New Roman" w:hAnsi="Times New Roman" w:cs="Times New Roman"/>
          <w:sz w:val="26"/>
          <w:szCs w:val="26"/>
        </w:rPr>
        <w:t>0</w:t>
      </w:r>
      <w:r w:rsidR="00AC1207">
        <w:rPr>
          <w:rFonts w:ascii="Times New Roman" w:hAnsi="Times New Roman" w:cs="Times New Roman"/>
          <w:sz w:val="26"/>
          <w:szCs w:val="26"/>
        </w:rPr>
        <w:t>2</w:t>
      </w:r>
      <w:r w:rsidR="00B91D56">
        <w:rPr>
          <w:rFonts w:ascii="Times New Roman" w:hAnsi="Times New Roman" w:cs="Times New Roman"/>
          <w:sz w:val="26"/>
          <w:szCs w:val="26"/>
        </w:rPr>
        <w:t>.12.</w:t>
      </w:r>
      <w:r w:rsidR="00A105A0" w:rsidRPr="00F819DD">
        <w:rPr>
          <w:rFonts w:ascii="Times New Roman" w:hAnsi="Times New Roman" w:cs="Times New Roman"/>
          <w:sz w:val="26"/>
          <w:szCs w:val="26"/>
        </w:rPr>
        <w:t xml:space="preserve">2022 – </w:t>
      </w:r>
      <w:r w:rsidR="00B91D56">
        <w:rPr>
          <w:rFonts w:ascii="Times New Roman" w:hAnsi="Times New Roman" w:cs="Times New Roman"/>
          <w:sz w:val="26"/>
          <w:szCs w:val="26"/>
        </w:rPr>
        <w:t>23.12</w:t>
      </w:r>
      <w:r w:rsidR="00A105A0" w:rsidRPr="00F819DD">
        <w:rPr>
          <w:rFonts w:ascii="Times New Roman" w:hAnsi="Times New Roman" w:cs="Times New Roman"/>
          <w:sz w:val="26"/>
          <w:szCs w:val="26"/>
        </w:rPr>
        <w:t>.2022</w:t>
      </w:r>
      <w:r w:rsidRPr="00F819DD">
        <w:rPr>
          <w:rFonts w:ascii="Times New Roman" w:hAnsi="Times New Roman" w:cs="Times New Roman"/>
          <w:sz w:val="26"/>
          <w:szCs w:val="26"/>
        </w:rPr>
        <w:t>.</w:t>
      </w:r>
    </w:p>
    <w:p w14:paraId="6399263F" w14:textId="49788E47" w:rsidR="00B91D56" w:rsidRPr="00B91D56" w:rsidRDefault="00B91D56" w:rsidP="00AC1207">
      <w:pPr>
        <w:pStyle w:val="ae"/>
        <w:shd w:val="clear" w:color="auto" w:fill="FFFFFF"/>
        <w:tabs>
          <w:tab w:val="left" w:pos="993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AC1207" w:rsidRPr="00AC1207">
        <w:rPr>
          <w:rFonts w:ascii="Times New Roman" w:hAnsi="Times New Roman"/>
          <w:sz w:val="26"/>
          <w:szCs w:val="26"/>
        </w:rPr>
        <w:t xml:space="preserve">Проект акта разработан в целях приведения к единому коэффициенту, </w:t>
      </w:r>
      <w:r w:rsidR="00AC1207" w:rsidRPr="00AC1207">
        <w:rPr>
          <w:rFonts w:ascii="Times New Roman" w:eastAsia="Times New Roman" w:hAnsi="Times New Roman"/>
          <w:sz w:val="26"/>
          <w:szCs w:val="26"/>
        </w:rPr>
        <w:t>учитывающему специализацию нестационарного торгового объекта,</w:t>
      </w:r>
      <w:r w:rsidR="00AC1207" w:rsidRPr="00AC1207">
        <w:rPr>
          <w:rFonts w:ascii="Times New Roman" w:hAnsi="Times New Roman"/>
          <w:sz w:val="26"/>
          <w:szCs w:val="26"/>
        </w:rPr>
        <w:t xml:space="preserve"> что будет способствовать увеличению поступлений в городской бюджет.</w:t>
      </w:r>
    </w:p>
    <w:p w14:paraId="4E093588" w14:textId="77777777" w:rsidR="00E40598" w:rsidRDefault="00171833" w:rsidP="00B85E9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19DD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B85E9C" w:rsidRPr="00F819DD">
        <w:rPr>
          <w:rFonts w:eastAsia="Calibri"/>
          <w:sz w:val="26"/>
          <w:szCs w:val="26"/>
          <w:lang w:eastAsia="en-US"/>
        </w:rPr>
        <w:t xml:space="preserve"> </w:t>
      </w:r>
    </w:p>
    <w:p w14:paraId="0300FAA5" w14:textId="69F9A9D4" w:rsidR="00E40598" w:rsidRDefault="00EF5DFB" w:rsidP="00E40598">
      <w:pPr>
        <w:ind w:firstLine="709"/>
        <w:jc w:val="both"/>
        <w:rPr>
          <w:sz w:val="26"/>
          <w:szCs w:val="26"/>
          <w:lang w:eastAsia="en-US"/>
        </w:rPr>
      </w:pPr>
      <w:r w:rsidRPr="00EF5DFB">
        <w:rPr>
          <w:sz w:val="26"/>
          <w:szCs w:val="26"/>
          <w:lang w:eastAsia="en-US"/>
        </w:rPr>
        <w:t>Проектом акта вносятся изменения в части корректировки коэффициента, учитывающего специализацию нестационарного торгового объекта, а именно изменение коэффициента по специализации "смешанные товары" с "0,8" на "1"</w:t>
      </w:r>
      <w:r>
        <w:rPr>
          <w:sz w:val="26"/>
          <w:szCs w:val="26"/>
          <w:lang w:eastAsia="en-US"/>
        </w:rPr>
        <w:t>.</w:t>
      </w:r>
    </w:p>
    <w:p w14:paraId="38C07B58" w14:textId="282C4E45" w:rsidR="00B85E9C" w:rsidRDefault="00171833" w:rsidP="00B85E9C">
      <w:pPr>
        <w:tabs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 w:rsidRPr="00F819DD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F819DD">
        <w:rPr>
          <w:sz w:val="26"/>
          <w:szCs w:val="26"/>
        </w:rPr>
        <w:br/>
      </w:r>
      <w:r w:rsidRPr="00F819DD">
        <w:rPr>
          <w:sz w:val="26"/>
          <w:szCs w:val="26"/>
        </w:rPr>
        <w:t>их количественная оценка:</w:t>
      </w:r>
      <w:r w:rsidR="00B85E9C" w:rsidRPr="00F819DD">
        <w:rPr>
          <w:sz w:val="26"/>
          <w:szCs w:val="26"/>
        </w:rPr>
        <w:t xml:space="preserve"> </w:t>
      </w:r>
      <w:r w:rsidR="00AA379A">
        <w:rPr>
          <w:sz w:val="26"/>
          <w:szCs w:val="26"/>
        </w:rPr>
        <w:t>х</w:t>
      </w:r>
      <w:r w:rsidR="00AA379A" w:rsidRPr="00401833">
        <w:rPr>
          <w:sz w:val="25"/>
          <w:szCs w:val="25"/>
        </w:rPr>
        <w:t>озяйствующие субъекты, желающие заключить договор на размещение нестационарных торговых объектов на территории города Нарьян-Мара.</w:t>
      </w:r>
    </w:p>
    <w:p w14:paraId="5E7B9BAE" w14:textId="77777777" w:rsidR="00AA379A" w:rsidRPr="00401833" w:rsidRDefault="00AA379A" w:rsidP="00AA379A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7. </w:t>
      </w:r>
      <w:r w:rsidRPr="00401833">
        <w:rPr>
          <w:bCs/>
          <w:sz w:val="25"/>
          <w:szCs w:val="25"/>
        </w:rPr>
        <w:t>Описание проблемы, на решение которой направлено предлагаемое правовое регулирование:</w:t>
      </w:r>
    </w:p>
    <w:p w14:paraId="44233167" w14:textId="77777777" w:rsidR="00963E07" w:rsidRPr="00EF5DFB" w:rsidRDefault="00963E07" w:rsidP="00963E07">
      <w:pPr>
        <w:autoSpaceDE w:val="0"/>
        <w:autoSpaceDN w:val="0"/>
        <w:adjustRightInd w:val="0"/>
        <w:ind w:firstLine="595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Разработчик обосновывает это тем, что в</w:t>
      </w:r>
      <w:r w:rsidRPr="00841A6B">
        <w:rPr>
          <w:sz w:val="26"/>
          <w:szCs w:val="26"/>
        </w:rPr>
        <w:t xml:space="preserve"> связи с незначительной платой за размещение нестационарного торгового объекта по специализации "смешанные товары" хозяйствующие субъекты, заключая договоры на размещение нестационарного торгового объекта, осуществляют торговлю овощами и фруктами. Проблема была выявлена при проведении мониторинга нестационарных торговых объектов.</w:t>
      </w:r>
    </w:p>
    <w:p w14:paraId="5F1D7814" w14:textId="77777777" w:rsidR="00E25DCE" w:rsidRPr="00401833" w:rsidRDefault="00E25DCE" w:rsidP="00E25D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14:paraId="1D8A7CBA" w14:textId="44872A33" w:rsidR="00171833" w:rsidRPr="00F819DD" w:rsidRDefault="00171833" w:rsidP="00B85E9C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>9. В период проведения публичных консультаций в адрес Администрации муниципального образования "Городской округ "Город Нарьян-Мар" по</w:t>
      </w:r>
      <w:r w:rsidR="009135C2" w:rsidRPr="00F819DD">
        <w:rPr>
          <w:sz w:val="26"/>
          <w:szCs w:val="26"/>
        </w:rPr>
        <w:t xml:space="preserve"> проекту постановления предложени</w:t>
      </w:r>
      <w:r w:rsidR="00B85E9C" w:rsidRPr="00F819DD">
        <w:rPr>
          <w:sz w:val="26"/>
          <w:szCs w:val="26"/>
        </w:rPr>
        <w:t>й и замечаний не поступало</w:t>
      </w:r>
      <w:r w:rsidRPr="00F819DD">
        <w:rPr>
          <w:sz w:val="26"/>
          <w:szCs w:val="26"/>
        </w:rPr>
        <w:t>.</w:t>
      </w:r>
    </w:p>
    <w:p w14:paraId="4FF08C67" w14:textId="77777777" w:rsidR="00730B70" w:rsidRPr="00401833" w:rsidRDefault="00730B70" w:rsidP="00730B7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14:paraId="5A472BC6" w14:textId="77777777" w:rsidR="00730B70" w:rsidRPr="00401833" w:rsidRDefault="00730B70" w:rsidP="00730B70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33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</w:t>
      </w:r>
      <w:r w:rsidRPr="00401833">
        <w:rPr>
          <w:rFonts w:ascii="Times New Roman" w:hAnsi="Times New Roman" w:cs="Times New Roman"/>
          <w:sz w:val="25"/>
          <w:szCs w:val="25"/>
        </w:rPr>
        <w:br/>
        <w:t xml:space="preserve">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</w:t>
      </w:r>
      <w:r w:rsidRPr="00401833">
        <w:rPr>
          <w:rFonts w:ascii="Times New Roman" w:hAnsi="Times New Roman" w:cs="Times New Roman"/>
          <w:sz w:val="25"/>
          <w:szCs w:val="25"/>
        </w:rPr>
        <w:br/>
        <w:t>и из бюджета муниципального образования "Городской округ "Город Нарьян-Мар".</w:t>
      </w:r>
    </w:p>
    <w:p w14:paraId="7EEDFA55" w14:textId="71E7A1D2" w:rsidR="00171833" w:rsidRPr="00F819DD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>Проект постановления возможен к принятию.</w:t>
      </w:r>
    </w:p>
    <w:p w14:paraId="2689A2E0" w14:textId="77777777" w:rsidR="00E13C1A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14:paraId="093A42E5" w14:textId="77777777" w:rsidR="00E13C1A" w:rsidRPr="006434C1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245"/>
        <w:gridCol w:w="4253"/>
      </w:tblGrid>
      <w:tr w:rsidR="00171833" w:rsidRPr="006434C1" w14:paraId="447AD763" w14:textId="77777777" w:rsidTr="00F819DD">
        <w:tc>
          <w:tcPr>
            <w:tcW w:w="5245" w:type="dxa"/>
          </w:tcPr>
          <w:p w14:paraId="1B2504AA" w14:textId="080ECACF" w:rsidR="00171833" w:rsidRPr="006434C1" w:rsidRDefault="00BC6E02" w:rsidP="003E250C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171833" w:rsidRPr="006434C1">
              <w:rPr>
                <w:sz w:val="26"/>
                <w:szCs w:val="26"/>
              </w:rPr>
              <w:t xml:space="preserve"> управления экономического и инвестици</w:t>
            </w:r>
            <w:r w:rsidR="003E250C">
              <w:rPr>
                <w:sz w:val="26"/>
                <w:szCs w:val="26"/>
              </w:rPr>
              <w:t>онного развития Администрации муниципального образования</w:t>
            </w:r>
            <w:r w:rsidR="00171833" w:rsidRPr="006434C1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253" w:type="dxa"/>
            <w:vAlign w:val="bottom"/>
          </w:tcPr>
          <w:p w14:paraId="7630AD72" w14:textId="612B116E" w:rsidR="00171833" w:rsidRPr="006434C1" w:rsidRDefault="00BC6E02" w:rsidP="00870FC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Н.Л.Кислякова</w:t>
            </w:r>
          </w:p>
        </w:tc>
      </w:tr>
    </w:tbl>
    <w:p w14:paraId="37A5DD3D" w14:textId="77777777" w:rsidR="00171833" w:rsidRPr="003C2BFF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171833" w:rsidRPr="003C2BFF" w:rsidSect="00F819DD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E5B8" w14:textId="77777777" w:rsidR="002C4EE4" w:rsidRDefault="002C4EE4">
      <w:r>
        <w:separator/>
      </w:r>
    </w:p>
  </w:endnote>
  <w:endnote w:type="continuationSeparator" w:id="0">
    <w:p w14:paraId="64F4B0B2" w14:textId="77777777" w:rsidR="002C4EE4" w:rsidRDefault="002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C2E8" w14:textId="77777777" w:rsidR="002C4EE4" w:rsidRDefault="002C4EE4">
      <w:r>
        <w:separator/>
      </w:r>
    </w:p>
  </w:footnote>
  <w:footnote w:type="continuationSeparator" w:id="0">
    <w:p w14:paraId="37303313" w14:textId="77777777" w:rsidR="002C4EE4" w:rsidRDefault="002C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1B6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285E63" w14:textId="77777777"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7C5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E07">
      <w:rPr>
        <w:rStyle w:val="a5"/>
        <w:noProof/>
      </w:rPr>
      <w:t>2</w:t>
    </w:r>
    <w:r>
      <w:rPr>
        <w:rStyle w:val="a5"/>
      </w:rPr>
      <w:fldChar w:fldCharType="end"/>
    </w:r>
  </w:p>
  <w:p w14:paraId="3E5482AE" w14:textId="77777777" w:rsidR="002C4EE4" w:rsidRDefault="002C4EE4" w:rsidP="003E25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828A" w14:textId="77777777" w:rsidR="00F63F16" w:rsidRDefault="00F63F16">
    <w:pPr>
      <w:pStyle w:val="1"/>
      <w:ind w:left="4680" w:firstLine="720"/>
      <w:rPr>
        <w:color w:val="333333"/>
      </w:rPr>
    </w:pPr>
  </w:p>
  <w:p w14:paraId="4FD06C53" w14:textId="77777777" w:rsidR="003E250C" w:rsidRPr="003E250C" w:rsidRDefault="003E250C" w:rsidP="003E250C"/>
  <w:p w14:paraId="249B9744" w14:textId="77777777" w:rsidR="002C4EE4" w:rsidRDefault="002C4EE4" w:rsidP="00F819DD">
    <w:pPr>
      <w:pStyle w:val="1"/>
      <w:ind w:left="3828" w:hanging="2268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 wp14:anchorId="0AC17172" wp14:editId="3A29CAE0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06C8D9" w14:textId="77777777"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8D082" wp14:editId="1A4402F7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27B66" w14:textId="77777777"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8D0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14:paraId="3E327B66" w14:textId="77777777"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53E8B4" w14:textId="77777777" w:rsidR="002C4EE4" w:rsidRDefault="002C4EE4">
    <w:pPr>
      <w:pStyle w:val="1"/>
      <w:jc w:val="center"/>
      <w:rPr>
        <w:sz w:val="24"/>
        <w:szCs w:val="24"/>
      </w:rPr>
    </w:pPr>
  </w:p>
  <w:p w14:paraId="7112F9E3" w14:textId="77777777" w:rsidR="00F63F16" w:rsidRPr="00F63F16" w:rsidRDefault="00F63F16" w:rsidP="00F63F16"/>
  <w:p w14:paraId="00095F4C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14:paraId="02999465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14:paraId="58DE997E" w14:textId="3AC5A5BC"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</w:t>
    </w:r>
  </w:p>
  <w:p w14:paraId="6EB3641C" w14:textId="77777777"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14:paraId="73147F07" w14:textId="77777777"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2F01"/>
    <w:rsid w:val="00014DD3"/>
    <w:rsid w:val="00014FD8"/>
    <w:rsid w:val="000151A9"/>
    <w:rsid w:val="00015A71"/>
    <w:rsid w:val="00015DAE"/>
    <w:rsid w:val="00015DE2"/>
    <w:rsid w:val="000221B7"/>
    <w:rsid w:val="00025B55"/>
    <w:rsid w:val="00025F48"/>
    <w:rsid w:val="000446F2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3ECD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2BB9"/>
    <w:rsid w:val="00174ABC"/>
    <w:rsid w:val="00180DC6"/>
    <w:rsid w:val="00181C39"/>
    <w:rsid w:val="00183324"/>
    <w:rsid w:val="001864F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3249"/>
    <w:rsid w:val="001E7DD5"/>
    <w:rsid w:val="001F4531"/>
    <w:rsid w:val="001F4D1A"/>
    <w:rsid w:val="001F528B"/>
    <w:rsid w:val="001F60E7"/>
    <w:rsid w:val="001F6F7F"/>
    <w:rsid w:val="002050B0"/>
    <w:rsid w:val="002076D8"/>
    <w:rsid w:val="002123BB"/>
    <w:rsid w:val="002133C4"/>
    <w:rsid w:val="002137E9"/>
    <w:rsid w:val="00217710"/>
    <w:rsid w:val="00220F9B"/>
    <w:rsid w:val="00221F0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250C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50B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D619B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52C7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D1628"/>
    <w:rsid w:val="005D25BD"/>
    <w:rsid w:val="005D2A7D"/>
    <w:rsid w:val="005D473F"/>
    <w:rsid w:val="005D5EBB"/>
    <w:rsid w:val="005E2860"/>
    <w:rsid w:val="005E5924"/>
    <w:rsid w:val="005F0D06"/>
    <w:rsid w:val="00603B4F"/>
    <w:rsid w:val="00610CF4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19D"/>
    <w:rsid w:val="00687C57"/>
    <w:rsid w:val="00693A56"/>
    <w:rsid w:val="006A2AAF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0B70"/>
    <w:rsid w:val="00731D86"/>
    <w:rsid w:val="007401B6"/>
    <w:rsid w:val="0074054E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3046"/>
    <w:rsid w:val="007F499F"/>
    <w:rsid w:val="007F5A29"/>
    <w:rsid w:val="007F7569"/>
    <w:rsid w:val="008110A4"/>
    <w:rsid w:val="008127C0"/>
    <w:rsid w:val="008129FC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66BE5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0761"/>
    <w:rsid w:val="008E7FF0"/>
    <w:rsid w:val="008F1BA7"/>
    <w:rsid w:val="008F6293"/>
    <w:rsid w:val="008F7901"/>
    <w:rsid w:val="00903544"/>
    <w:rsid w:val="009078B0"/>
    <w:rsid w:val="009121D1"/>
    <w:rsid w:val="009135C2"/>
    <w:rsid w:val="00930D39"/>
    <w:rsid w:val="00941530"/>
    <w:rsid w:val="00946EE3"/>
    <w:rsid w:val="009509DA"/>
    <w:rsid w:val="009629CB"/>
    <w:rsid w:val="00963E07"/>
    <w:rsid w:val="00966314"/>
    <w:rsid w:val="00967D51"/>
    <w:rsid w:val="00993494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05A0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38B0"/>
    <w:rsid w:val="00A8548F"/>
    <w:rsid w:val="00A90EEE"/>
    <w:rsid w:val="00A90F4F"/>
    <w:rsid w:val="00A936DA"/>
    <w:rsid w:val="00A93BE8"/>
    <w:rsid w:val="00A977F4"/>
    <w:rsid w:val="00AA379A"/>
    <w:rsid w:val="00AB524B"/>
    <w:rsid w:val="00AC1207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85E9C"/>
    <w:rsid w:val="00B904C9"/>
    <w:rsid w:val="00B91D56"/>
    <w:rsid w:val="00B93F91"/>
    <w:rsid w:val="00B94D92"/>
    <w:rsid w:val="00BB1F1B"/>
    <w:rsid w:val="00BB4C40"/>
    <w:rsid w:val="00BC17DD"/>
    <w:rsid w:val="00BC18B9"/>
    <w:rsid w:val="00BC2B21"/>
    <w:rsid w:val="00BC2CBE"/>
    <w:rsid w:val="00BC6932"/>
    <w:rsid w:val="00BC6E02"/>
    <w:rsid w:val="00BD3A1C"/>
    <w:rsid w:val="00BD4203"/>
    <w:rsid w:val="00BE1E79"/>
    <w:rsid w:val="00BE7B02"/>
    <w:rsid w:val="00BF01B6"/>
    <w:rsid w:val="00BF2AF4"/>
    <w:rsid w:val="00BF38C7"/>
    <w:rsid w:val="00BF5F36"/>
    <w:rsid w:val="00BF79F2"/>
    <w:rsid w:val="00BF7B22"/>
    <w:rsid w:val="00C04887"/>
    <w:rsid w:val="00C0742B"/>
    <w:rsid w:val="00C13864"/>
    <w:rsid w:val="00C141F5"/>
    <w:rsid w:val="00C15474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71D7B"/>
    <w:rsid w:val="00C721DE"/>
    <w:rsid w:val="00C7540E"/>
    <w:rsid w:val="00C830E3"/>
    <w:rsid w:val="00C93172"/>
    <w:rsid w:val="00CA2D02"/>
    <w:rsid w:val="00CA726E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5382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B1B90"/>
    <w:rsid w:val="00DC0003"/>
    <w:rsid w:val="00DC24D5"/>
    <w:rsid w:val="00DC58FC"/>
    <w:rsid w:val="00DC6F3A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5DCE"/>
    <w:rsid w:val="00E27CF3"/>
    <w:rsid w:val="00E312EE"/>
    <w:rsid w:val="00E3544A"/>
    <w:rsid w:val="00E359B7"/>
    <w:rsid w:val="00E36E1E"/>
    <w:rsid w:val="00E37039"/>
    <w:rsid w:val="00E40598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3530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EF5DFB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0593"/>
    <w:rsid w:val="00F576B6"/>
    <w:rsid w:val="00F61303"/>
    <w:rsid w:val="00F61D11"/>
    <w:rsid w:val="00F63F16"/>
    <w:rsid w:val="00F64BCF"/>
    <w:rsid w:val="00F7237B"/>
    <w:rsid w:val="00F7371E"/>
    <w:rsid w:val="00F76559"/>
    <w:rsid w:val="00F7773E"/>
    <w:rsid w:val="00F80324"/>
    <w:rsid w:val="00F819DD"/>
    <w:rsid w:val="00F91745"/>
    <w:rsid w:val="00F93CF6"/>
    <w:rsid w:val="00FA21E4"/>
    <w:rsid w:val="00FA3838"/>
    <w:rsid w:val="00FA459A"/>
    <w:rsid w:val="00FA4A7D"/>
    <w:rsid w:val="00FC1CB2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71A17826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  <w:style w:type="character" w:styleId="af0">
    <w:name w:val="annotation reference"/>
    <w:basedOn w:val="a0"/>
    <w:semiHidden/>
    <w:unhideWhenUsed/>
    <w:rsid w:val="009135C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135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135C2"/>
  </w:style>
  <w:style w:type="paragraph" w:styleId="af3">
    <w:name w:val="annotation subject"/>
    <w:basedOn w:val="af1"/>
    <w:next w:val="af1"/>
    <w:link w:val="af4"/>
    <w:semiHidden/>
    <w:unhideWhenUsed/>
    <w:rsid w:val="009135C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13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5E7E9AF-C05C-4BEA-A9F0-60BA591D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619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5523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Оленицкая Виктория Сергеевна</cp:lastModifiedBy>
  <cp:revision>35</cp:revision>
  <cp:lastPrinted>2020-11-30T05:54:00Z</cp:lastPrinted>
  <dcterms:created xsi:type="dcterms:W3CDTF">2021-09-24T10:17:00Z</dcterms:created>
  <dcterms:modified xsi:type="dcterms:W3CDTF">2023-01-09T12:51:00Z</dcterms:modified>
</cp:coreProperties>
</file>