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PT Astra Serif" w:hAnsi="PT Astra Serif" w:cs="PT Astra Serif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eastAsia="PT Astra Serif" w:cs="PT Astra Serif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2869565</wp:posOffset>
                </wp:positionH>
                <wp:positionV relativeFrom="paragraph">
                  <wp:posOffset>-464819</wp:posOffset>
                </wp:positionV>
                <wp:extent cx="463550" cy="571500"/>
                <wp:effectExtent l="0" t="0" r="0" b="0"/>
                <wp:wrapTopAndBottom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635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25.95pt;mso-position-horizontal:absolute;mso-position-vertical-relative:text;margin-top:-36.60pt;mso-position-vertical:absolute;width:36.50pt;height:45.00pt;mso-wrap-distance-left:9.00pt;mso-wrap-distance-top:0.00pt;mso-wrap-distance-right:9.00pt;mso-wrap-distance-bottom:0.00pt;" stroked="f">
                <v:path textboxrect="0,0,0,0"/>
                <w10:wrap type="topAndBottom"/>
                <v:imagedata r:id="rId9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Администрация муниципального образования</w:t>
      </w:r>
      <w:r>
        <w:rPr>
          <w:rFonts w:ascii="PT Astra Serif" w:hAnsi="PT Astra Serif" w:eastAsia="PT Astra Serif" w:cs="PT Astra Serif"/>
          <w:b/>
          <w:sz w:val="26"/>
          <w:szCs w:val="26"/>
        </w:rPr>
        <w:br/>
        <w:t xml:space="preserve">"Городской округ "Город Нарьян-Мар"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spacing w:after="0" w:line="240" w:lineRule="auto"/>
        <w:rPr>
          <w:rFonts w:ascii="PT Astra Serif" w:hAnsi="PT Astra Serif" w:cs="PT Astra Serif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eastAsia="PT Astra Serif" w:cs="PT Astra Serif"/>
          <w:b/>
          <w:sz w:val="32"/>
          <w:szCs w:val="20"/>
        </w:rPr>
        <w:t xml:space="preserve">ПОСТАНОВЛЕНИЕ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spacing w:after="0" w:line="240" w:lineRule="auto"/>
        <w:rPr>
          <w:rFonts w:ascii="PT Astra Serif" w:hAnsi="PT Astra Serif" w:cs="PT Astra Serif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spacing w:after="0" w:line="240" w:lineRule="auto"/>
        <w:rPr>
          <w:rFonts w:ascii="PT Astra Serif" w:hAnsi="PT Astra Serif" w:cs="PT Astra Serif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eastAsia="PT Astra Serif" w:cs="PT Astra Serif"/>
          <w:sz w:val="20"/>
          <w:szCs w:val="20"/>
        </w:rPr>
        <w:t xml:space="preserve">__________________ № _________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spacing w:after="0" w:line="240" w:lineRule="auto"/>
        <w:rPr>
          <w:rFonts w:ascii="PT Astra Serif" w:hAnsi="PT Astra Serif" w:cs="PT Astra Serif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27"/>
      </w:tblGrid>
      <w:tr>
        <w:tblPrEx/>
        <w:trPr/>
        <w:tc>
          <w:tcPr>
            <w:tcW w:w="55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Об утверждении Административного регламента предоставления муниципальной услуги "Дача письменных разъяснений налогоплательщикам и налоговым агентам по вопросам применения нормативных правовых актов муниципального образования "Городской округ "Город Нарьян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-Мар" о местных налогах и сборах"</w:t>
            </w:r>
            <w:r>
              <w:rPr>
                <w:rFonts w:ascii="PT Astra Serif" w:hAnsi="PT Astra Serif" w:cs="PT Astra Serif"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bCs/>
                <w:color w:val="000000" w:themeColor="text1"/>
                <w:sz w:val="26"/>
                <w:szCs w:val="26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shd w:val="clear" w:color="ffffff" w:fill="ffffff"/>
        <w:rPr>
          <w:rFonts w:ascii="PT Astra Serif" w:hAnsi="PT Astra Serif" w:cs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В соответствии с Федеральным </w:t>
      </w:r>
      <w:hyperlink r:id="rId10" w:tooltip="https://login.consultant.ru/link/?req=doc&amp;base=LAW&amp;n=531468" w:history="1">
        <w:r>
          <w:rPr>
            <w:rFonts w:ascii="PT Astra Serif" w:hAnsi="PT Astra Serif" w:cs="PT Astra Serif"/>
            <w:color w:val="000000" w:themeColor="text1"/>
            <w:sz w:val="26"/>
            <w:szCs w:val="26"/>
          </w:rPr>
          <w:t xml:space="preserve">законом</w:t>
        </w:r>
      </w:hyperlink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от 20.03.2025 № 33-ФЗ "Об общих принципах организации местного самоуправления в единой системе публичной власти", </w:t>
      </w:r>
      <w:hyperlink r:id="rId11" w:tooltip="https://login.consultant.ru/link/?req=doc&amp;base=LAW&amp;n=523235&amp;dst=100093" w:history="1">
        <w:r>
          <w:rPr>
            <w:rFonts w:ascii="PT Astra Serif" w:hAnsi="PT Astra Serif" w:cs="PT Astra Serif"/>
            <w:color w:val="000000" w:themeColor="text1"/>
            <w:sz w:val="26"/>
            <w:szCs w:val="26"/>
          </w:rPr>
          <w:t xml:space="preserve">статьей 12</w:t>
        </w:r>
      </w:hyperlink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Федерального закона от 27.07.2010 № 210-ФЗ "Об организации предоставления государственных и муниципальных услуг", </w:t>
      </w:r>
      <w:r>
        <w:rPr>
          <w:rStyle w:val="883"/>
        </w:rPr>
      </w:r>
      <w:hyperlink r:id="rId12" w:tooltip="consultantplus://offline/ref=6A3E0D665C7924504704225AAE787ED1C8EAFFF41459B527658F504B727187640E3B6CE3CFAD788C21778B04117DC6FC2144E43Ek4Q6I" w:history="1">
        <w:r>
          <w:rPr>
            <w:rFonts w:ascii="PT Astra Serif" w:hAnsi="PT Astra Serif" w:cs="PT Astra Serif"/>
            <w:bCs/>
            <w:sz w:val="26"/>
            <w:szCs w:val="26"/>
          </w:rPr>
          <w:t xml:space="preserve">статьями </w:t>
        </w:r>
      </w:hyperlink>
      <w:r/>
      <w:hyperlink r:id="rId13" w:tooltip="consultantplus://offline/ref=6A3E0D665C7924504704225AAE787ED1C8EAFFF41459B527658F504B727187640E3B6CE4C3A22BD63173C2531E61C4E53F41FA3E4797k7Q4I" w:history="1">
        <w:r>
          <w:rPr>
            <w:rFonts w:ascii="PT Astra Serif" w:hAnsi="PT Astra Serif" w:cs="PT Astra Serif"/>
            <w:bCs/>
            <w:sz w:val="26"/>
            <w:szCs w:val="26"/>
          </w:rPr>
          <w:t xml:space="preserve">21</w:t>
        </w:r>
      </w:hyperlink>
      <w:r>
        <w:rPr>
          <w:rFonts w:ascii="PT Astra Serif" w:hAnsi="PT Astra Serif" w:cs="PT Astra Serif"/>
          <w:bCs/>
          <w:sz w:val="26"/>
          <w:szCs w:val="26"/>
        </w:rPr>
        <w:t xml:space="preserve">, </w:t>
      </w:r>
      <w:hyperlink r:id="rId14" w:tooltip="consultantplus://offline/ref=6A3E0D665C7924504704225AAE787ED1C8EAFFF41459B527658F504B727187640E3B6CE4C3A125D63173C2531E61C4E53F41FA3E4797k7Q4I" w:history="1">
        <w:r>
          <w:rPr>
            <w:rFonts w:ascii="PT Astra Serif" w:hAnsi="PT Astra Serif" w:cs="PT Astra Serif"/>
            <w:bCs/>
            <w:sz w:val="26"/>
            <w:szCs w:val="26"/>
          </w:rPr>
          <w:t xml:space="preserve">34.2</w:t>
        </w:r>
      </w:hyperlink>
      <w:r>
        <w:rPr>
          <w:rFonts w:ascii="PT Astra Serif" w:hAnsi="PT Astra Serif" w:cs="PT Astra Serif"/>
          <w:bCs/>
          <w:sz w:val="26"/>
          <w:szCs w:val="26"/>
        </w:rPr>
        <w:t xml:space="preserve"> Налогового кодекса Российской Федерации,</w:t>
      </w:r>
      <w:r>
        <w:rPr>
          <w:bCs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постановлением Администрации муниципального образования "Городской округ "Город Нарьян-Мар" от 22.07.2022 № 903 "Об утверждении Порядка разработки и утверждения административных регламентов предостав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ления муниципальных услуг Администрацией муниципального образования "Городской округ "Город Нарьян-Мар" и типового административного регламента предоставления муниципальных услуг Администрацией муниципального образования "Городской округ "Город Нарьян-Мар"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, Администрация муниципального образования "Городской округ "Город Нарьян-Мар"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 О С Т А Н О В Л Я Е Т: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spacing w:after="0" w:line="240" w:lineRule="auto"/>
        <w:rPr>
          <w:rFonts w:ascii="PT Astra Serif" w:hAnsi="PT Astra Serif" w:cs="PT Astra Serif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 Утвердить Административный </w:t>
      </w:r>
      <w:r>
        <w:rPr>
          <w:rFonts w:ascii="PT Astra Serif" w:hAnsi="PT Astra Serif" w:cs="PT Astra Serif"/>
          <w:sz w:val="26"/>
          <w:szCs w:val="26"/>
        </w:rPr>
        <w:t xml:space="preserve">регламент предоставления муниципальной услуги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"Дача письменных разъяснений налогоплательщикам и налоговым агентам по вопросам применения нормативных правовых актов муниципального образования "Городской округ "Город Нарьян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-Мар" о местных налогах и сборах"</w:t>
      </w:r>
      <w:r>
        <w:rPr>
          <w:rFonts w:ascii="PT Astra Serif" w:hAnsi="PT Astra Serif" w:cs="PT Astra Serif"/>
          <w:sz w:val="26"/>
          <w:szCs w:val="26"/>
        </w:rPr>
        <w:t xml:space="preserve"> согласно Приложению.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shd w:val="clear" w:color="ffffff" w:fill="ffffff"/>
        <w:rPr>
          <w:rFonts w:ascii="PT Astra Serif" w:hAnsi="PT Astra Serif" w:cs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2. Признать утратившими силу: 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shd w:val="clear" w:color="ffffff" w:fill="ffffff"/>
        <w:rPr>
          <w:rFonts w:ascii="PT Astra Serif" w:hAnsi="PT Astra Serif" w:cs="PT Astra Serif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2.1. постановление Администрации муниципального образования "Городской округ "Город Нарьян-Мар" от 30.08.2021 № 1056 "Об утверждении административного регламента по предоставлению муниципальной услуги "Дача письменных разъяснений налогоплательщикам и налог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овым агентам по вопросу применения муниципальных нормативных правовых актов муниципального образования "Городской округ "Город Нарьян-Мар" о местных налогах и сборах";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2.2. постановление Администрации муниципального образования "Городской округ "Город Нарьян-Мар" от 13.09.2021 № 1111 "О внесении изменений в постановление Администрации муниципального образования "Городской округ "Город Нарьян-Мар" от 30.08.2021 № 1056".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</w:rPr>
        <w:t xml:space="preserve">3. Настоящее постановление вступает в силу после его официального опубликования. 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88"/>
        <w:gridCol w:w="488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9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b/>
                <w:bCs/>
                <w:sz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b/>
                <w:bCs/>
                <w:sz w:val="26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6"/>
              </w:rPr>
              <w:t xml:space="preserve">Глава города Нарьян-Мара </w:t>
            </w:r>
            <w:r>
              <w:rPr>
                <w:rFonts w:ascii="PT Astra Serif" w:hAnsi="PT Astra Serif" w:cs="PT Astra Serif"/>
                <w:b/>
                <w:bCs/>
                <w:sz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85" w:type="dxa"/>
            <w:textDirection w:val="lrTb"/>
            <w:noWrap w:val="false"/>
          </w:tcPr>
          <w:p>
            <w:pPr>
              <w:ind w:right="-2"/>
              <w:jc w:val="right"/>
              <w:spacing w:after="0" w:line="240" w:lineRule="auto"/>
              <w:rPr>
                <w:rFonts w:ascii="PT Astra Serif" w:hAnsi="PT Astra Serif" w:cs="PT Astra Serif"/>
                <w:b/>
                <w:bCs/>
                <w:sz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</w:rPr>
            </w:r>
          </w:p>
          <w:p>
            <w:pPr>
              <w:ind w:right="-2"/>
              <w:jc w:val="right"/>
              <w:spacing w:after="0" w:line="240" w:lineRule="auto"/>
              <w:rPr>
                <w:rFonts w:ascii="PT Astra Serif" w:hAnsi="PT Astra Serif" w:cs="PT Astra Serif"/>
                <w:b/>
                <w:bCs/>
                <w:sz w:val="26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6"/>
              </w:rPr>
              <w:t xml:space="preserve">О.О. Белак</w:t>
            </w:r>
            <w:r>
              <w:rPr>
                <w:rFonts w:ascii="PT Astra Serif" w:hAnsi="PT Astra Serif" w:cs="PT Astra Serif"/>
                <w:b/>
                <w:bCs/>
                <w:sz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</w:rPr>
            </w:r>
          </w:p>
        </w:tc>
      </w:tr>
    </w:tbl>
    <w:tbl>
      <w:tblPr>
        <w:tblStyle w:val="733"/>
        <w:tblW w:w="0" w:type="auto"/>
        <w:tblInd w:w="49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43"/>
      </w:tblGrid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Утвержден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постановлением Администрации муниципального образования "Городской округ "Город Нарьян-Мар"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от ___ № ____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</w:p>
        </w:tc>
      </w:tr>
    </w:tbl>
    <w:p>
      <w:pPr>
        <w:jc w:val="right"/>
        <w:spacing w:after="0" w:line="240" w:lineRule="auto"/>
        <w:shd w:val="clear" w:color="ffffff" w:fill="ffffff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</w:r>
    </w:p>
    <w:p>
      <w:pPr>
        <w:pStyle w:val="879"/>
        <w:ind w:left="4962" w:firstLine="0"/>
        <w:jc w:val="right"/>
        <w:rPr>
          <w:rFonts w:ascii="PT Astra Serif" w:hAnsi="PT Astra Serif" w:cs="PT Astra Serif"/>
          <w:color w:val="000000" w:themeColor="text1"/>
          <w:sz w:val="26"/>
          <w:szCs w:val="26"/>
        </w:rPr>
      </w:pPr>
      <w:r>
        <w:rPr>
          <w:rFonts w:ascii="PT Astra Serif" w:hAnsi="PT Astra Serif" w:cs="PT Astra Serif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</w:p>
    <w:p>
      <w:pPr>
        <w:pStyle w:val="879"/>
        <w:ind w:left="4962" w:firstLine="0"/>
        <w:jc w:val="right"/>
        <w:rPr>
          <w:rFonts w:ascii="PT Astra Serif" w:hAnsi="PT Astra Serif" w:cs="PT Astra Serif"/>
          <w:color w:val="000000" w:themeColor="text1"/>
          <w:sz w:val="26"/>
          <w:szCs w:val="26"/>
        </w:rPr>
      </w:pPr>
      <w:r>
        <w:rPr>
          <w:rFonts w:ascii="PT Astra Serif" w:hAnsi="PT Astra Serif" w:cs="PT Astra Serif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АДМИНИСТРАТИВНЫЙ РЕГЛАМЕНТ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ПРЕДОСТАВЛЕНИЯ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caps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"ДАЧА ПИСЬМЕННЫХ РАЗЪЯСНЕНИЙ НАЛОГОПЛАТЕЛЬЩИКАМ И НАЛОГОВЫМ АГЕНТАМ ПО ВОПРОСУ ПРИМЕНЕНИЯ МУНИЦИПАЛЬНЫХ НОРМАТИВНЫХ ПРАВОВЫХ АКТОВ МУНИЦИПАЛЬНОГО ОБРАЗОВАНИЯ "ГОРОДСКОЙ ОКРУГ "ГОРОД НАРЬЯН-МАР"</w:t>
      </w:r>
      <w:r>
        <w:rPr>
          <w:rFonts w:ascii="PT Astra Serif" w:hAnsi="PT Astra Serif" w:cs="PT Astra Serif"/>
          <w:caps/>
          <w:sz w:val="26"/>
          <w:szCs w:val="26"/>
        </w:rPr>
      </w:r>
      <w:r>
        <w:rPr>
          <w:rFonts w:ascii="PT Astra Serif" w:hAnsi="PT Astra Serif" w:cs="PT Astra Serif"/>
          <w:caps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Раздел I. Общие положения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Предмет регулирования административного регламента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1.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Настоящий административный регламент устанавли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вает порядок предоставления муниципальной услуги "Дача письменных разъяснений налогоплательщикам и налоговым агентам по вопросу применения муниципальных нормативных правовых актов муниципального образования "Городской округ "Город Нарьян-Мар" (далее – муни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ципальная услуга) и стандарт предоставления муниципальной услуги, включая сроки и последовательность административных процедур и административных действий Администрации муниципального образования "Городской округ "Город Нарьян-Мар" (далее – Администрация)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br/>
        <w:t xml:space="preserve">при осуществлении полномочий по предоставлению муниципальной услуги.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Круг заявителей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PT Astra Serif" w:hAnsi="PT Astra Serif" w:cs="PT Astra Serif"/>
          <w:color w:val="000000" w:themeColor="text1"/>
          <w:sz w:val="26"/>
          <w:szCs w:val="26"/>
          <w:highlight w:val="yellow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2. Заявителями при предоставлении муниципальной услуги являются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физические лица 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ab/>
        <w:t xml:space="preserve">юридические лица 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 – Заявитель). </w:t>
      </w:r>
      <w:bookmarkStart w:id="5" w:name="P50"/>
      <w:r/>
      <w:bookmarkEnd w:id="5"/>
      <w:r>
        <w:rPr>
          <w:rFonts w:ascii="PT Astra Serif" w:hAnsi="PT Astra Serif" w:cs="PT Astra Serif"/>
          <w:color w:val="000000" w:themeColor="text1"/>
          <w:sz w:val="26"/>
          <w:szCs w:val="26"/>
          <w:highlight w:val="yellow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yellow"/>
        </w:rPr>
      </w:r>
    </w:p>
    <w:p>
      <w:pPr>
        <w:pStyle w:val="880"/>
        <w:ind w:firstLine="709"/>
        <w:jc w:val="both"/>
        <w:rPr>
          <w:rFonts w:ascii="PT Astra Serif" w:hAnsi="PT Astra Serif" w:eastAsia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Интересы Заявителей, указанных в абзаце первом настоящего пункта, могут представлять их представители на основании документов, подтверждающих их статус.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</w:r>
      <w:r>
        <w:rPr>
          <w:rFonts w:ascii="PT Astra Serif" w:hAnsi="PT Astra Serif" w:eastAsia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3. Услуга предоставляется Заявителю в соответствии с категориями (признаками) Заявителей. 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  <w:t xml:space="preserve">  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Раздел II. Стандарт предоставления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Наименование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4. Наименование муниципальной услуги – "Дача письменных разъяснений налогоплательщикам и налоговым агентам по вопросу применения муниципальных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нормативных правовых актов муниципального образования "Городской округ "Город Нарьян-Мар".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Наименование органа, предоставляющего муниципальную услугу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eastAsia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5. Муниципальная услуга предоставляется Администрацией в лице структурного подразделения – У</w:t>
      </w:r>
      <w:hyperlink r:id="rId15" w:tooltip="consultantplus://offline/ref=5CE7C923BB2FC058A84AC020CDD6EB01E27DF5269A02FFA0CFCB996B6CC05746C931B076C54D84964576FFB91B98A1D3F85D215D3E6E855B895CD4y3E7I" w:history="1">
        <w:r>
          <w:rPr>
            <w:rFonts w:ascii="PT Astra Serif" w:hAnsi="PT Astra Serif" w:eastAsia="PT Astra Serif" w:cs="PT Astra Serif"/>
            <w:b w:val="0"/>
            <w:sz w:val="26"/>
            <w:szCs w:val="26"/>
          </w:rPr>
          <w:t xml:space="preserve">правление</w:t>
        </w:r>
      </w:hyperlink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 финансов Администрации 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br/>
        <w:t xml:space="preserve">МО "Городской округ "Город Нарьян-Мар" (далее – Управление). 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</w:r>
      <w:r>
        <w:rPr>
          <w:rFonts w:ascii="PT Astra Serif" w:hAnsi="PT Astra Serif" w:eastAsia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6. Прием 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заявлений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 о предоставлении муниципальной услуги и выдача результата осуществляются по адресу: 166000, Ненецкий автономный округ, 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br/>
        <w:t xml:space="preserve">г. Нарьян-Мар,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ул. им. В.И.Ленина, д. 12, кабинет № 11.</w:t>
      </w:r>
      <w:r>
        <w:rPr>
          <w:rFonts w:ascii="PT Astra Serif" w:hAnsi="PT Astra Serif" w:cs="PT Astra Serif"/>
          <w:b w:val="0"/>
          <w:sz w:val="26"/>
          <w:szCs w:val="26"/>
          <w:highlight w:val="white"/>
        </w:rPr>
      </w:r>
      <w:r>
        <w:rPr>
          <w:rFonts w:ascii="PT Astra Serif" w:hAnsi="PT Astra Serif" w:cs="PT Astra Serif"/>
          <w:b w:val="0"/>
          <w:sz w:val="26"/>
          <w:szCs w:val="26"/>
          <w:highlight w:val="white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График приема Заявителей: ежедневно, кроме субботы, воскресенья и нерабочих праздничных дней,  с 8.30 до 12.30 и с 13.30 до 17.30, пятница с 8.30 до 12.00. </w:t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В предпраздничные дни продолжительность рабочего времени сокращается на 1 час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</w:rPr>
        <w:t xml:space="preserve">.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Контактный телефон: (81853) 4-91-92.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Электронный адрес: goradm@adm-nmar.ru.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Официальный сайт: www.adm-nmar.ru.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Результат предоставления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color w:val="000000" w:themeColor="text1"/>
          <w:sz w:val="26"/>
          <w:szCs w:val="26"/>
        </w:rPr>
        <w:t xml:space="preserve">7. Результатом предоставления муниципальной услуги является:</w:t>
      </w:r>
      <w:r>
        <w:rPr>
          <w:rFonts w:ascii="PT Astra Serif" w:hAnsi="PT Astra Serif" w:cs="PT Astra Serif"/>
          <w:b w:val="0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 w:val="0"/>
          <w:color w:val="000000" w:themeColor="text1"/>
          <w:sz w:val="26"/>
          <w:szCs w:val="26"/>
        </w:rPr>
      </w:r>
    </w:p>
    <w:p>
      <w:pPr>
        <w:pStyle w:val="879"/>
        <w:contextualSpacing/>
        <w:ind w:firstLine="709"/>
        <w:jc w:val="both"/>
        <w:tabs>
          <w:tab w:val="left" w:pos="1134" w:leader="none"/>
        </w:tabs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7.1.Выдача письменного разъяснения по вопросу применения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нормативных правовых актов муниципального образования "Городской округ "Город Нарьян-Мар" о местных налогах и сборах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(далее – письменное разъяснение);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r>
    </w:p>
    <w:p>
      <w:pPr>
        <w:pStyle w:val="879"/>
        <w:contextualSpacing/>
        <w:ind w:firstLine="709"/>
        <w:jc w:val="both"/>
        <w:tabs>
          <w:tab w:val="left" w:pos="1134" w:leader="none"/>
        </w:tabs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7.2.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ab/>
        <w:t xml:space="preserve">Выдача решения об отказе в предоставлении муниципальной услуги.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white"/>
        </w:rPr>
        <w:t xml:space="preserve">(далее – решение об отказе).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color w:val="ff0000"/>
          <w:sz w:val="26"/>
          <w:szCs w:val="26"/>
        </w:rPr>
      </w:pPr>
      <w:r>
        <w:rPr>
          <w:rFonts w:ascii="PT Astra Serif" w:hAnsi="PT Astra Serif" w:cs="PT Astra Serif"/>
          <w:b w:val="0"/>
          <w:bCs w:val="0"/>
          <w:color w:val="ff000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color w:val="ff000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color w:val="ff000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Срок предоставления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8. Срок предоставления муниципальной услуги не может превышать 15 (пятнадцать) рабочих дней со дня регистрации 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заявления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 о предоставлении муниципальной услуги.  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Документ, являющийся результатом п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редоставления муниципальной услуги, в течение 3 (трёх) рабочих дней со дня его оформления вручается Заявителю лично в отделе документационного обеспечения и работы с обращениями граждан управления делами Администрации либо направляется Заявителю указанным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br/>
        <w:t xml:space="preserve">в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заявлении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о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п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р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е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д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о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с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т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а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в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л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е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н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и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и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м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у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н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и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ц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и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п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а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л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ь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н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о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й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у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с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л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у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г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и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способом. </w:t>
      </w:r>
      <w:r>
        <w:rPr>
          <w:rFonts w:ascii="PT Astra Serif" w:hAnsi="PT Astra Serif" w:cs="PT Astra Serif"/>
          <w:b w:val="0"/>
          <w:sz w:val="26"/>
          <w:szCs w:val="26"/>
          <w:highlight w:val="white"/>
        </w:rPr>
      </w:r>
      <w:r>
        <w:rPr>
          <w:rFonts w:ascii="PT Astra Serif" w:hAnsi="PT Astra Serif" w:cs="PT Astra Serif"/>
          <w:b w:val="0"/>
          <w:sz w:val="26"/>
          <w:szCs w:val="26"/>
          <w:highlight w:val="white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Размер платы, взимаемой с Заявителя при предоставлении муниципальной услуги, и способы ее взимания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9.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b/>
          <w:bCs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при непосредственном обращении в орган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местного самоуправления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10. Максимальный срок ожидания в очереди при подаче заявления о предоставлении муниципальной услуги при непосредственном обращении в Администрацию составляет 15 минут.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11. Максимальный срок ожидания в очереди при получении результата предоставления муниципальной услуги при непосредственном обращении в Администрацию составляет 15 минут.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Срок регистрации заявления З</w:t>
      </w:r>
      <w:r>
        <w:rPr>
          <w:rFonts w:ascii="PT Astra Serif" w:hAnsi="PT Astra Serif" w:eastAsia="PT Astra Serif" w:cs="PT Astra Serif"/>
          <w:sz w:val="26"/>
          <w:szCs w:val="26"/>
          <w:highlight w:val="white"/>
        </w:rPr>
        <w:t xml:space="preserve">аявителя о предоставлении муниципальной услуги</w:t>
      </w:r>
      <w:r>
        <w:rPr>
          <w:rFonts w:ascii="PT Astra Serif" w:hAnsi="PT Astra Serif" w:cs="PT Astra Serif"/>
          <w:sz w:val="26"/>
          <w:szCs w:val="26"/>
          <w:highlight w:val="white"/>
        </w:rPr>
      </w:r>
      <w:r>
        <w:rPr>
          <w:rFonts w:ascii="PT Astra Serif" w:hAnsi="PT Astra Serif" w:cs="PT Astra Serif"/>
          <w:sz w:val="26"/>
          <w:szCs w:val="26"/>
          <w:highlight w:val="white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12. Срок регистрации заявления о предоставлении муниципал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ьной услуги и документов, необходимых для предоставления муниципальной услуги, в Администрации составляет 1 (один) рабочий день с даты подачи заявления о предоставлении муниципальной услуги и документов, необходимых для предоставления муниципальной услуги.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Требования к помещениям, в которых предоставляется муниципальная услуга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13. Требования, которым должны соответствовать помещения, в которых предоставляется муниципальная услуга, размещаются на официальном сайте Администрации. 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Показатели доступности и качества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14. Перечень показателей качества и доступности муниципальной услуги размещается на официальном сайте Администрации. 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Иные требования к предоставлению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15. Услуги, которые являются необходимыми и обязательными для предоставления муниципальной услуги, отсутствуют.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Исчерпывающий перечень документов, </w:t>
      </w:r>
      <w:r>
        <w:rPr>
          <w:rFonts w:ascii="PT Astra Serif" w:hAnsi="PT Astra Serif" w:eastAsia="PT Astra Serif" w:cs="PT Astra Serif"/>
          <w:sz w:val="26"/>
          <w:szCs w:val="26"/>
        </w:rPr>
        <w:br/>
        <w:t xml:space="preserve">необходимых для предоставления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eastAsia="PT Astra Serif" w:cs="PT Astra Serif"/>
          <w:b w:val="0"/>
          <w:bCs w:val="0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16.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 Для предоставления муниципальной услуги Заявителем представляются документы указанные в Приложении 1 к настоящему административному регламенту.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highlight w:val="white"/>
        </w:rPr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highlight w:val="white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17. Исчерпывающий перечень документов, необходимых в соответствии 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br/>
        <w:t xml:space="preserve">с законодательными и иными нормативными правовыми актами Российской Федерации для предоставления муниципальной услуги, с разделением на документы и информацию, которые Заявитель представляет 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Приложении 1 к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 настоящему административному регламенту.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Исчерпывающий перечень оснований для отка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за в приеме заявления о предоставлении муниципальной услуги и документов, необходимых для предоставления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18. Основания для отказа в приеме документов, необходимых для предоставления муниципальной услуги, приведены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в Приложении 4 к настоящему административному регламенту. </w:t>
      </w:r>
      <w:r>
        <w:rPr>
          <w:rFonts w:ascii="PT Astra Serif" w:hAnsi="PT Astra Serif" w:cs="PT Astra Serif"/>
          <w:sz w:val="26"/>
          <w:szCs w:val="26"/>
          <w:highlight w:val="white"/>
        </w:rPr>
      </w:r>
      <w:r>
        <w:rPr>
          <w:rFonts w:ascii="PT Astra Serif" w:hAnsi="PT Astra Serif" w:cs="PT Astra Serif"/>
          <w:sz w:val="26"/>
          <w:szCs w:val="26"/>
          <w:highlight w:val="white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19. 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Основани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я</w:t>
      </w: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 для отказа в предоставлении муниципальной услуги приведены в Приложении 4 </w:t>
      </w: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к настоящему административному регламенту.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20. Основания для приостановления предоставления муниципальной услуги законодательством Российской Федерации не предусмотрены.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Раздел III. Состав, последовательность и сроки </w:t>
      </w:r>
      <w:r>
        <w:rPr>
          <w:rFonts w:ascii="PT Astra Serif" w:hAnsi="PT Astra Serif" w:eastAsia="PT Astra Serif" w:cs="PT Astra Serif"/>
          <w:sz w:val="26"/>
          <w:szCs w:val="26"/>
        </w:rPr>
        <w:br/>
        <w:t xml:space="preserve">выполнения административных процедур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Перечень осуществляемых при предоставлении </w:t>
      </w:r>
      <w:r>
        <w:rPr>
          <w:rFonts w:ascii="PT Astra Serif" w:hAnsi="PT Astra Serif" w:eastAsia="PT Astra Serif" w:cs="PT Astra Serif"/>
          <w:sz w:val="26"/>
          <w:szCs w:val="26"/>
        </w:rPr>
        <w:br/>
        <w:t xml:space="preserve">услуги административных процедур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</w:rPr>
        <w:t xml:space="preserve">21. 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Предоставление муниципальной услуги включает в себя следующие административные процедуры: 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</w:rPr>
        <w:t xml:space="preserve">21.1.профилирование Заявителя согласно 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Приложению 2 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</w:rPr>
        <w:br/>
        <w:t xml:space="preserve">к настоящему административному регламенту;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</w:rPr>
        <w:t xml:space="preserve">21.2. прием заявления о предоставлении муниципальной услуги и документов и (или) информации, необходимых для предоставления муниципальной услуги;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21.3. 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межведомственное информационное взаимодействие (при наличии оснований и технической возможности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)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;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</w:rPr>
        <w:t xml:space="preserve">21.4. принятие решения о предоставлении (об отказе в предоставлении) муниципальной услуги;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</w:rPr>
        <w:t xml:space="preserve">21.5. предоставление результата муниципальной услуги.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22. Административные процедуры "Приостановление предоставления муниципальной услуги", "Получение дополнительных сведений от Заявителя" не приведены, поскольку они не предусмотрены законодательством Российской Федерации.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  <w:highlight w:val="white"/>
        </w:rPr>
        <w:t xml:space="preserve">23. 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Результат предоставления муниципальной услуги выдается Заявителю (его законному представителю) лично при предъявлении документа, удостоверяющего личность, либо уполномоченному представителю Заявителя при предъявлении документа, удостоверяющего личность, и 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документа, подтверждающего полномочия на получение результата (доверенности, оформленной в соответствии с законодательством Российской Федерации).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  <w:highlight w:val="white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  <w:highlight w:val="white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Раздел IV. Способы информирования Заявителя об изменении статуса </w:t>
      </w:r>
      <w:r>
        <w:rPr>
          <w:rFonts w:ascii="PT Astra Serif" w:hAnsi="PT Astra Serif" w:eastAsia="PT Astra Serif" w:cs="PT Astra Serif"/>
          <w:sz w:val="26"/>
          <w:szCs w:val="26"/>
        </w:rPr>
        <w:br/>
        <w:t xml:space="preserve">рассмотрения заявления о предоставлении муниципальной услуги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24. Информирование Заявителя об изменении статуса рассмотрения заявления о предоставлении муниципальной услуги осуществляется по телефону или почтовым отправлением.</w:t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p>
      <w:pPr>
        <w:pStyle w:val="880"/>
        <w:ind w:firstLine="709"/>
        <w:jc w:val="both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tbl>
      <w:tblPr>
        <w:tblStyle w:val="733"/>
        <w:tblW w:w="0" w:type="auto"/>
        <w:tblInd w:w="425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>
        <w:tblPrEx/>
        <w:trPr/>
        <w:tc>
          <w:tcPr>
            <w:tcW w:w="5103" w:type="dxa"/>
            <w:textDirection w:val="lrTb"/>
            <w:noWrap w:val="false"/>
          </w:tcPr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 w:val="0"/>
                <w:sz w:val="26"/>
                <w:szCs w:val="26"/>
              </w:rPr>
              <w:t xml:space="preserve">Приложение 1</w:t>
            </w:r>
            <w:r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r>
          </w:p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 w:val="0"/>
                <w:sz w:val="26"/>
                <w:szCs w:val="26"/>
              </w:rPr>
              <w:t xml:space="preserve">к Административному регламенту</w:t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</w:rPr>
            </w:r>
          </w:p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bCs w:val="0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PT Astra Serif"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"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  <w:t xml:space="preserve">Дача письменных разъяснений налогоплательщикам и налоговым агентам по вопросам применения нормативных правовых актов муниципального образования "Городской округ "Город Нарьян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  <w:t xml:space="preserve">-Мар" о местных налогах и сборах"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 w:val="0"/>
                <w:bCs w:val="0"/>
                <w:color w:val="ff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ff0000"/>
                <w:sz w:val="26"/>
                <w:szCs w:val="26"/>
              </w:rPr>
            </w:r>
          </w:p>
        </w:tc>
      </w:tr>
    </w:tbl>
    <w:p>
      <w:pPr>
        <w:pStyle w:val="880"/>
        <w:jc w:val="right"/>
        <w:rPr>
          <w:rFonts w:ascii="PT Astra Serif" w:hAnsi="PT Astra Serif" w:cs="PT Astra Serif"/>
          <w:b w:val="0"/>
          <w:color w:val="ff0000"/>
          <w:sz w:val="26"/>
          <w:szCs w:val="26"/>
        </w:rPr>
      </w:pPr>
      <w:r>
        <w:rPr>
          <w:rFonts w:ascii="PT Astra Serif" w:hAnsi="PT Astra Serif" w:cs="PT Astra Serif"/>
          <w:b w:val="0"/>
          <w:color w:val="ff0000"/>
          <w:sz w:val="26"/>
          <w:szCs w:val="26"/>
        </w:rPr>
      </w:r>
      <w:r>
        <w:rPr>
          <w:rFonts w:ascii="PT Astra Serif" w:hAnsi="PT Astra Serif" w:cs="PT Astra Serif"/>
          <w:b w:val="0"/>
          <w:color w:val="ff0000"/>
          <w:sz w:val="26"/>
          <w:szCs w:val="26"/>
        </w:rPr>
      </w:r>
      <w:r>
        <w:rPr>
          <w:rFonts w:ascii="PT Astra Serif" w:hAnsi="PT Astra Serif" w:cs="PT Astra Serif"/>
          <w:b w:val="0"/>
          <w:color w:val="ff000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  <w:outlineLvl w:val="0"/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Исчерпывающий перечень документов,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необходимых для предоставления муниципальной услуги 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tbl>
      <w:tblPr>
        <w:tblW w:w="935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83"/>
        <w:gridCol w:w="1276"/>
        <w:gridCol w:w="3968"/>
        <w:gridCol w:w="382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п/п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Идентификаторы категорий (признаков) Заявителей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Перечень необходимых для предоставления муниципальной услуги документов, которые Заявитель представляет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самостоятельно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Перечень документов, которые Заявитель вправе представить по собственной инициативе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27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1.</w:t>
            </w:r>
            <w:hyperlink r:id="rId16" w:tooltip="https://login.consultant.ru/link/?req=doc&amp;base=SPB&amp;n=324440&amp;dst=100198" w:history="1">
              <w:r>
                <w:rPr>
                  <w:rFonts w:ascii="PT Astra Serif" w:hAnsi="PT Astra Serif" w:eastAsia="PT Astra Serif" w:cs="PT Astra Serif"/>
                  <w:sz w:val="26"/>
                  <w:szCs w:val="26"/>
                </w:rPr>
                <w:t xml:space="preserve">Заявлени</w:t>
              </w:r>
              <w:r>
                <w:rPr>
                  <w:rFonts w:ascii="PT Astra Serif" w:hAnsi="PT Astra Serif" w:eastAsia="PT Astra Serif" w:cs="PT Astra Serif"/>
                  <w:sz w:val="26"/>
                  <w:szCs w:val="26"/>
                  <w:highlight w:val="white"/>
                </w:rPr>
                <w:t xml:space="preserve">е</w:t>
              </w:r>
            </w:hyperlink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shd w:val="clear" w:color="ffffff" w:themeColor="background1" w:fill="ffffff" w:themeFill="background1"/>
              </w:rPr>
              <w:t xml:space="preserve">(Прило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  <w:t xml:space="preserve">жение 3). 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  <w:t xml:space="preserve">2.Документ, удостоверяющий личность представителя заявителя. 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both"/>
              <w:spacing w:before="280"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  <w:t xml:space="preserve">3. 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3"/>
              </w:numPr>
              <w:ind w:left="0" w:firstLine="0"/>
              <w:jc w:val="both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Выписка из Единого государственного реестра индивидуальных предпринимателей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(для физического лица, зарегистрированного в качестве индивидуального предпринимателя)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.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pStyle w:val="879"/>
              <w:contextualSpacing/>
              <w:ind w:firstLine="283"/>
              <w:jc w:val="both"/>
              <w:tabs>
                <w:tab w:val="left" w:pos="1276" w:leader="none"/>
              </w:tabs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29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А1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1. </w:t>
            </w:r>
            <w:hyperlink r:id="rId17" w:tooltip="https://login.consultant.ru/link/?req=doc&amp;base=SPB&amp;n=324440&amp;dst=100198" w:history="1">
              <w:r>
                <w:rPr>
                  <w:rFonts w:ascii="PT Astra Serif" w:hAnsi="PT Astra Serif" w:eastAsia="PT Astra Serif" w:cs="PT Astra Serif"/>
                  <w:sz w:val="26"/>
                  <w:szCs w:val="26"/>
                </w:rPr>
                <w:t xml:space="preserve">Заявление</w:t>
              </w:r>
            </w:hyperlink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shd w:val="clear" w:color="ffffff" w:themeColor="background1" w:fill="ffffff" w:themeFill="background1"/>
              </w:rPr>
              <w:t xml:space="preserve">(Прило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  <w:t xml:space="preserve">жение 3). 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  <w:t xml:space="preserve">2.Документ, удостоверяющий личность представителя заявителя. 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both"/>
              <w:spacing w:before="280"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  <w:t xml:space="preserve">3. 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заявителя). 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1. Выписка из Единого государственного реестра юридических лиц.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79"/>
              <w:contextualSpacing/>
              <w:ind w:firstLine="283"/>
              <w:jc w:val="both"/>
              <w:tabs>
                <w:tab w:val="left" w:pos="1276" w:leader="none"/>
              </w:tabs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79"/>
              <w:contextualSpacing/>
              <w:ind w:firstLine="709"/>
              <w:jc w:val="both"/>
              <w:tabs>
                <w:tab w:val="left" w:pos="1276" w:leader="none"/>
              </w:tabs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Style w:val="883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tbl>
      <w:tblPr>
        <w:tblStyle w:val="733"/>
        <w:tblW w:w="0" w:type="auto"/>
        <w:tblInd w:w="478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785"/>
      </w:tblGrid>
      <w:tr>
        <w:tblPrEx/>
        <w:trPr/>
        <w:tc>
          <w:tcPr>
            <w:tcW w:w="4789" w:type="dxa"/>
            <w:textDirection w:val="lrTb"/>
            <w:noWrap w:val="false"/>
          </w:tcPr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 w:val="0"/>
                <w:sz w:val="26"/>
                <w:szCs w:val="26"/>
              </w:rPr>
              <w:t xml:space="preserve">Приложение 2</w:t>
            </w:r>
            <w:r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r>
          </w:p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 w:val="0"/>
                <w:sz w:val="26"/>
                <w:szCs w:val="26"/>
              </w:rPr>
              <w:t xml:space="preserve">к Административному регламенту</w:t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</w:rPr>
            </w:r>
          </w:p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PT Astra Serif"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"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  <w:t xml:space="preserve">Дача письменных разъяснений налогоплательщикам и налоговым агентам по вопросам применения нормативных правовых актов муниципального образования "Городской округ "Город Нарьян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  <w:t xml:space="preserve">-Мар" о местных налогах и сборах"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 w:val="0"/>
                <w:color w:val="ff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color w:val="ff0000"/>
                <w:sz w:val="26"/>
                <w:szCs w:val="26"/>
              </w:rPr>
            </w:r>
          </w:p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 w:cs="PT Astra Serif"/>
                <w:b w:val="0"/>
                <w:sz w:val="26"/>
                <w:szCs w:val="26"/>
                <w:highlight w:val="yellow"/>
              </w:rPr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  <w:highlight w:val="yellow"/>
              </w:rPr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  <w:highlight w:val="yellow"/>
              </w:rPr>
            </w:r>
          </w:p>
        </w:tc>
      </w:tr>
    </w:tbl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  <w:outlineLvl w:val="0"/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Идентификаторы категорий (признаков) Заявителей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438"/>
        <w:gridCol w:w="3175"/>
        <w:gridCol w:w="380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Наименование отдельного признака Заявителя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Перечень результатов предоставления муниципальной услуги (цели обращения Заявителя)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Дача письменных разъяснений налогоплательщикам и налоговым агентам по вопросу применения муниципальных нормативных правовых актов муниципального образования "Городской округ "Город Нарьян-Мар"</w:t>
            </w:r>
            <w:r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  <w:t xml:space="preserve">Отказ в д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  <w:t xml:space="preserve">ач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е письменных разъяснений налогоплательщикам и налоговым агентам по вопросу применения муниципальных нормативных правовых актов муниципального образования "Городской округ "Город Нарьян-Мар"</w:t>
            </w:r>
            <w:r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Б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Физическое лицо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Б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Юридическое лицо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А1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Б1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tbl>
      <w:tblPr>
        <w:tblStyle w:val="733"/>
        <w:tblW w:w="0" w:type="auto"/>
        <w:tblInd w:w="4503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068"/>
      </w:tblGrid>
      <w:tr>
        <w:tblPrEx/>
        <w:trPr/>
        <w:tc>
          <w:tcPr>
            <w:tcW w:w="5072" w:type="dxa"/>
            <w:textDirection w:val="lrTb"/>
            <w:noWrap w:val="false"/>
          </w:tcPr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 w:val="0"/>
                <w:sz w:val="26"/>
                <w:szCs w:val="26"/>
              </w:rPr>
              <w:t xml:space="preserve">Приложение 3</w:t>
            </w:r>
            <w:r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r>
          </w:p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 w:val="0"/>
                <w:sz w:val="26"/>
                <w:szCs w:val="26"/>
              </w:rPr>
              <w:t xml:space="preserve">к Административному регламенту</w:t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</w:rPr>
            </w:r>
          </w:p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PT Astra Serif"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"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  <w:t xml:space="preserve">Дача письменных разъяснений налогоплательщикам и налоговым агентам по вопросам применения нормативных правовых актов муниципального образования "Городской округ "Город Нарьян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  <w:t xml:space="preserve">-Мар" о местных налогах и сборах"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 w:val="0"/>
                <w:color w:val="ff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color w:val="ff0000"/>
                <w:sz w:val="26"/>
                <w:szCs w:val="26"/>
              </w:rPr>
            </w:r>
          </w:p>
        </w:tc>
      </w:tr>
    </w:tbl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right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Главе города Нарьян-Мара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right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  <w:t xml:space="preserve">_________________________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от ____________________________________________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(для юридических лиц - наименование организации,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для физических лиц - фамилия, имя, отчество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          (последнее при наличии))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ИНН 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            (для юридических лиц)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_______________________________________________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             (почтовый адрес)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_______________________________________________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           (контактный телефон)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_______________________________________________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        (адрес электронной почты)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_______________________________________________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(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фамилия, имя, отчество (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последнее при наличии) представителя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  заявителя, действующего по доверенности)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right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         (реквизиты доверенности)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8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/>
      <w:bookmarkStart w:id="21" w:name="undefined"/>
      <w:r/>
      <w:bookmarkEnd w:id="21"/>
      <w:r>
        <w:rPr>
          <w:rFonts w:ascii="Times New Roman" w:hAnsi="Times New Roman" w:cs="Times New Roman"/>
          <w:sz w:val="26"/>
          <w:szCs w:val="26"/>
        </w:rPr>
        <w:t xml:space="preserve">ЗАЯВЛЕНИЕ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о </w:t>
      </w:r>
      <w:r>
        <w:rPr>
          <w:rFonts w:ascii="Times New Roman" w:hAnsi="Times New Roman" w:cs="Times New Roman"/>
          <w:sz w:val="26"/>
          <w:szCs w:val="26"/>
        </w:rPr>
        <w:t xml:space="preserve">даче </w:t>
      </w:r>
      <w:r>
        <w:rPr>
          <w:rFonts w:ascii="Times New Roman" w:hAnsi="Times New Roman" w:cs="Times New Roman"/>
          <w:sz w:val="26"/>
          <w:szCs w:val="26"/>
        </w:rPr>
        <w:t xml:space="preserve">письменных разъяснений по вопросам применения </w:t>
      </w:r>
      <w:r>
        <w:rPr>
          <w:rFonts w:ascii="Times New Roman" w:hAnsi="Times New Roman" w:cs="Times New Roman"/>
          <w:sz w:val="26"/>
          <w:szCs w:val="26"/>
        </w:rPr>
        <w:t xml:space="preserve">нормативных правовых актов муниципального образования "Городской округ "Город Нарьян-Мар" о местных налогах и сборах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Прошу дать разъяснение по вопросу _____________________________________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(излагается суть запроса)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заявлению прилагаю __________________________________________________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(перечень прилагаемых документов)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Результат предоставления муниципальной услуги (нужное отметить):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┌─┐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└─┘ получу лично;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┌─┐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└─┘ направить почтовым отправлением.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             _______________________________________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(подпись заявителя)                                  (Ф.И.О. заявителя, полностью)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"___" __________ 20__ 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Style w:val="733"/>
        <w:tblW w:w="0" w:type="auto"/>
        <w:tblInd w:w="464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927"/>
      </w:tblGrid>
      <w:tr>
        <w:tblPrEx/>
        <w:trPr/>
        <w:tc>
          <w:tcPr>
            <w:tcW w:w="4931" w:type="dxa"/>
            <w:textDirection w:val="lrTb"/>
            <w:noWrap w:val="false"/>
          </w:tcPr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 w:val="0"/>
                <w:sz w:val="26"/>
                <w:szCs w:val="26"/>
              </w:rPr>
              <w:t xml:space="preserve">Приложение 4</w:t>
            </w:r>
            <w:r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26"/>
                <w:szCs w:val="26"/>
              </w:rPr>
            </w:r>
          </w:p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 w:val="0"/>
                <w:sz w:val="26"/>
                <w:szCs w:val="26"/>
              </w:rPr>
              <w:t xml:space="preserve">к Административному регламенту</w:t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sz w:val="26"/>
                <w:szCs w:val="26"/>
              </w:rPr>
            </w:r>
          </w:p>
          <w:p>
            <w:pPr>
              <w:pStyle w:val="880"/>
              <w:jc w:val="both"/>
              <w:rPr>
                <w:rFonts w:ascii="PT Astra Serif" w:hAnsi="PT Astra Serif" w:cs="PT Astra Serif"/>
                <w:b w:val="0"/>
                <w:color w:val="ff0000"/>
                <w:sz w:val="26"/>
                <w:szCs w:val="26"/>
              </w:rPr>
            </w:pPr>
            <w:r>
              <w:rPr>
                <w:rFonts w:ascii="PT Astra Serif" w:hAnsi="PT Astra Serif" w:cs="PT Astra Serif"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"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  <w:t xml:space="preserve">Дача письменных разъяснений налогоплательщикам и налоговым агентам по вопросам применения нормативных правовых актов муниципального образования "Городской округ "Город Нарьян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  <w:t xml:space="preserve">-Мар" о местных налогах и сборах"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 w:val="0"/>
                <w:color w:val="ff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color w:val="ff0000"/>
                <w:sz w:val="26"/>
                <w:szCs w:val="26"/>
              </w:rPr>
            </w:r>
          </w:p>
        </w:tc>
      </w:tr>
    </w:tbl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center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 w:eastAsiaTheme="minorHAnsi"/>
          <w:sz w:val="26"/>
          <w:szCs w:val="26"/>
          <w:lang w:eastAsia="en-US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оснований для отказа в предоставлении муниципальной услуги</w:t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10"/>
        <w:gridCol w:w="6746"/>
        <w:gridCol w:w="216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№</w:t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  <w:t xml:space="preserve">п/п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Перечень оснований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Идентификатор категорий (признаков) Заявителей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Исчерпывающий перечень оснований для отказа в приеме заявления и документов, необходимых для предоставления муниципальной услуги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Представление неполного комплекта документов, указанных в Приложении 1 к административному регламенту, обязанность по представлению которых возложена на Заявителя.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  <w:t xml:space="preserve">А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Подача заявления лицом, не уполномоченным на осуществление таких действий в соответствии с настоящим административным регламентом.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</w:p>
          <w:p>
            <w:pPr>
              <w:spacing w:after="0" w:line="240" w:lineRule="auto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  <w:t xml:space="preserve">А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  <w:t xml:space="preserve">Исчерпывающий перечень оснований для отказа 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  <w:br/>
              <w:t xml:space="preserve">в предоставлении муниципальной услуги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1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Предметом заявления является информация, которая не относится к муниципальной услуге» или «Запрос Заявителя не относится к вопросам применения нормативных правовых актов муниципального образования "Городской округ "Город Нарьян-Мар" о местных налогах и сбо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рах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.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Б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2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Представление Заявителем документов, содержащих недостоверные сведения, или недействительных документов.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Б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3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В заявлении содержится вопрос, на который Заявителю ранее многократно (два и более раза) давались письменные разъяснения по существу, и при этом в заявлении не приводятся новые доводы или обстоятельства» или «Повторное обращение по вопросу, на который Заяв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ителю ранее уже давались исчерпывающие ответы.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Б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4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highlight w:val="white"/>
              </w:rPr>
              <w:t xml:space="preserve">Текст заявления не поддается прочтению. 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Б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pStyle w:val="880"/>
        <w:jc w:val="both"/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p>
      <w:pPr>
        <w:spacing w:after="0" w:line="240" w:lineRule="auto"/>
        <w:rPr>
          <w:rFonts w:ascii="PT Astra Serif" w:hAnsi="PT Astra Serif" w:cs="PT Astra Serif"/>
        </w:rPr>
      </w:pPr>
      <w:r/>
      <w:bookmarkStart w:id="28" w:name="_GoBack"/>
      <w:r/>
      <w:bookmarkEnd w:id="28"/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sectPr>
      <w:footnotePr/>
      <w:endnotePr/>
      <w:type w:val="nextPage"/>
      <w:pgSz w:w="11906" w:h="16838" w:orient="portrait"/>
      <w:pgMar w:top="1134" w:right="850" w:bottom="709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ourier New">
    <w:panose1 w:val="020704090202050204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691"/>
    <w:next w:val="691"/>
    <w:link w:val="70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1">
    <w:name w:val="Heading 2"/>
    <w:basedOn w:val="691"/>
    <w:next w:val="691"/>
    <w:link w:val="70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2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3">
    <w:name w:val="Heading 4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691"/>
    <w:next w:val="691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691"/>
    <w:next w:val="691"/>
    <w:link w:val="7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8">
    <w:name w:val="Heading 9"/>
    <w:basedOn w:val="691"/>
    <w:next w:val="691"/>
    <w:link w:val="71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669">
    <w:name w:val="Header"/>
    <w:basedOn w:val="691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0">
    <w:name w:val="Footer"/>
    <w:basedOn w:val="691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1">
    <w:name w:val="Caption"/>
    <w:basedOn w:val="691"/>
    <w:next w:val="691"/>
    <w:link w:val="7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72">
    <w:name w:val="Plain Table 1"/>
    <w:basedOn w:val="6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69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7">
    <w:name w:val="Grid Table 1 Light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4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1">
    <w:name w:val="Grid Table 5 Dark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82">
    <w:name w:val="Grid Table 6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83">
    <w:name w:val="Grid Table 7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List Table 1 Light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List Table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86">
    <w:name w:val="List Table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List Table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List Table 5 Dark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89">
    <w:name w:val="List Table 6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90">
    <w:name w:val="List Table 7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691" w:default="1">
    <w:name w:val="Normal"/>
    <w:qFormat/>
  </w:style>
  <w:style w:type="character" w:styleId="692" w:default="1">
    <w:name w:val="Default Paragraph Font"/>
    <w:uiPriority w:val="1"/>
    <w:semiHidden/>
    <w:unhideWhenUsed/>
  </w:style>
  <w:style w:type="table" w:styleId="6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4" w:default="1">
    <w:name w:val="No List"/>
    <w:uiPriority w:val="99"/>
    <w:semiHidden/>
    <w:unhideWhenUsed/>
  </w:style>
  <w:style w:type="character" w:styleId="695" w:customStyle="1">
    <w:name w:val="Title Char"/>
    <w:basedOn w:val="692"/>
    <w:uiPriority w:val="10"/>
    <w:rPr>
      <w:sz w:val="48"/>
      <w:szCs w:val="48"/>
    </w:rPr>
  </w:style>
  <w:style w:type="character" w:styleId="696" w:customStyle="1">
    <w:name w:val="Subtitle Char"/>
    <w:basedOn w:val="692"/>
    <w:uiPriority w:val="11"/>
    <w:rPr>
      <w:sz w:val="24"/>
      <w:szCs w:val="24"/>
    </w:rPr>
  </w:style>
  <w:style w:type="character" w:styleId="697" w:customStyle="1">
    <w:name w:val="Quote Char"/>
    <w:uiPriority w:val="29"/>
    <w:rPr>
      <w:i/>
    </w:rPr>
  </w:style>
  <w:style w:type="character" w:styleId="698" w:customStyle="1">
    <w:name w:val="Intense Quote Char"/>
    <w:uiPriority w:val="30"/>
    <w:rPr>
      <w:i/>
    </w:rPr>
  </w:style>
  <w:style w:type="character" w:styleId="699" w:customStyle="1">
    <w:name w:val="Footnote Text Char"/>
    <w:uiPriority w:val="99"/>
    <w:rPr>
      <w:sz w:val="18"/>
    </w:rPr>
  </w:style>
  <w:style w:type="character" w:styleId="700" w:customStyle="1">
    <w:name w:val="Endnote Text Char"/>
    <w:uiPriority w:val="99"/>
    <w:rPr>
      <w:sz w:val="20"/>
    </w:rPr>
  </w:style>
  <w:style w:type="paragraph" w:styleId="701" w:customStyle="1">
    <w:name w:val="Заголовок 11"/>
    <w:basedOn w:val="691"/>
    <w:next w:val="691"/>
    <w:link w:val="70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702" w:customStyle="1">
    <w:name w:val="Heading 1 Char"/>
    <w:link w:val="701"/>
    <w:uiPriority w:val="9"/>
    <w:rPr>
      <w:rFonts w:ascii="Arial" w:hAnsi="Arial" w:eastAsia="Arial" w:cs="Arial"/>
      <w:sz w:val="40"/>
      <w:szCs w:val="40"/>
    </w:rPr>
  </w:style>
  <w:style w:type="paragraph" w:styleId="703" w:customStyle="1">
    <w:name w:val="Заголовок 21"/>
    <w:basedOn w:val="691"/>
    <w:next w:val="691"/>
    <w:link w:val="70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704" w:customStyle="1">
    <w:name w:val="Heading 2 Char"/>
    <w:link w:val="703"/>
    <w:uiPriority w:val="9"/>
    <w:rPr>
      <w:rFonts w:ascii="Arial" w:hAnsi="Arial" w:eastAsia="Arial" w:cs="Arial"/>
      <w:sz w:val="34"/>
    </w:rPr>
  </w:style>
  <w:style w:type="paragraph" w:styleId="705" w:customStyle="1">
    <w:name w:val="Заголовок 31"/>
    <w:basedOn w:val="691"/>
    <w:next w:val="691"/>
    <w:link w:val="70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706" w:customStyle="1">
    <w:name w:val="Heading 3 Char"/>
    <w:link w:val="705"/>
    <w:uiPriority w:val="9"/>
    <w:rPr>
      <w:rFonts w:ascii="Arial" w:hAnsi="Arial" w:eastAsia="Arial" w:cs="Arial"/>
      <w:sz w:val="30"/>
      <w:szCs w:val="30"/>
    </w:rPr>
  </w:style>
  <w:style w:type="paragraph" w:styleId="707" w:customStyle="1">
    <w:name w:val="Заголовок 41"/>
    <w:basedOn w:val="691"/>
    <w:next w:val="691"/>
    <w:link w:val="70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Heading 4 Char"/>
    <w:link w:val="707"/>
    <w:uiPriority w:val="9"/>
    <w:rPr>
      <w:rFonts w:ascii="Arial" w:hAnsi="Arial" w:eastAsia="Arial" w:cs="Arial"/>
      <w:b/>
      <w:bCs/>
      <w:sz w:val="26"/>
      <w:szCs w:val="26"/>
    </w:rPr>
  </w:style>
  <w:style w:type="paragraph" w:styleId="709" w:customStyle="1">
    <w:name w:val="Заголовок 51"/>
    <w:basedOn w:val="691"/>
    <w:next w:val="691"/>
    <w:link w:val="71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0" w:customStyle="1">
    <w:name w:val="Heading 5 Char"/>
    <w:link w:val="709"/>
    <w:uiPriority w:val="9"/>
    <w:rPr>
      <w:rFonts w:ascii="Arial" w:hAnsi="Arial" w:eastAsia="Arial" w:cs="Arial"/>
      <w:b/>
      <w:bCs/>
      <w:sz w:val="24"/>
      <w:szCs w:val="24"/>
    </w:rPr>
  </w:style>
  <w:style w:type="paragraph" w:styleId="711" w:customStyle="1">
    <w:name w:val="Заголовок 61"/>
    <w:basedOn w:val="691"/>
    <w:next w:val="691"/>
    <w:link w:val="71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712" w:customStyle="1">
    <w:name w:val="Heading 6 Char"/>
    <w:link w:val="711"/>
    <w:uiPriority w:val="9"/>
    <w:rPr>
      <w:rFonts w:ascii="Arial" w:hAnsi="Arial" w:eastAsia="Arial" w:cs="Arial"/>
      <w:b/>
      <w:bCs/>
      <w:sz w:val="22"/>
      <w:szCs w:val="22"/>
    </w:rPr>
  </w:style>
  <w:style w:type="paragraph" w:styleId="713" w:customStyle="1">
    <w:name w:val="Заголовок 71"/>
    <w:basedOn w:val="691"/>
    <w:next w:val="691"/>
    <w:link w:val="71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714" w:customStyle="1">
    <w:name w:val="Heading 7 Char"/>
    <w:link w:val="71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5" w:customStyle="1">
    <w:name w:val="Заголовок 81"/>
    <w:basedOn w:val="691"/>
    <w:next w:val="691"/>
    <w:link w:val="71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716" w:customStyle="1">
    <w:name w:val="Heading 8 Char"/>
    <w:link w:val="715"/>
    <w:uiPriority w:val="9"/>
    <w:rPr>
      <w:rFonts w:ascii="Arial" w:hAnsi="Arial" w:eastAsia="Arial" w:cs="Arial"/>
      <w:i/>
      <w:iCs/>
      <w:sz w:val="22"/>
      <w:szCs w:val="22"/>
    </w:rPr>
  </w:style>
  <w:style w:type="paragraph" w:styleId="717" w:customStyle="1">
    <w:name w:val="Заголовок 91"/>
    <w:basedOn w:val="691"/>
    <w:next w:val="691"/>
    <w:link w:val="71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8" w:customStyle="1">
    <w:name w:val="Heading 9 Char"/>
    <w:link w:val="717"/>
    <w:uiPriority w:val="9"/>
    <w:rPr>
      <w:rFonts w:ascii="Arial" w:hAnsi="Arial" w:eastAsia="Arial" w:cs="Arial"/>
      <w:i/>
      <w:iCs/>
      <w:sz w:val="21"/>
      <w:szCs w:val="21"/>
    </w:rPr>
  </w:style>
  <w:style w:type="paragraph" w:styleId="719">
    <w:name w:val="Title"/>
    <w:basedOn w:val="691"/>
    <w:next w:val="691"/>
    <w:link w:val="720"/>
    <w:uiPriority w:val="10"/>
    <w:qFormat/>
    <w:pPr>
      <w:contextualSpacing/>
      <w:spacing w:before="300"/>
    </w:pPr>
    <w:rPr>
      <w:sz w:val="48"/>
      <w:szCs w:val="48"/>
    </w:rPr>
  </w:style>
  <w:style w:type="character" w:styleId="720" w:customStyle="1">
    <w:name w:val="Название Знак"/>
    <w:link w:val="719"/>
    <w:uiPriority w:val="10"/>
    <w:rPr>
      <w:sz w:val="48"/>
      <w:szCs w:val="48"/>
    </w:rPr>
  </w:style>
  <w:style w:type="paragraph" w:styleId="721">
    <w:name w:val="Subtitle"/>
    <w:basedOn w:val="691"/>
    <w:next w:val="691"/>
    <w:link w:val="722"/>
    <w:uiPriority w:val="11"/>
    <w:qFormat/>
    <w:pPr>
      <w:spacing w:before="200"/>
    </w:pPr>
    <w:rPr>
      <w:sz w:val="24"/>
      <w:szCs w:val="24"/>
    </w:rPr>
  </w:style>
  <w:style w:type="character" w:styleId="722" w:customStyle="1">
    <w:name w:val="Подзаголовок Знак"/>
    <w:link w:val="721"/>
    <w:uiPriority w:val="11"/>
    <w:rPr>
      <w:sz w:val="24"/>
      <w:szCs w:val="24"/>
    </w:rPr>
  </w:style>
  <w:style w:type="paragraph" w:styleId="723">
    <w:name w:val="Quote"/>
    <w:basedOn w:val="691"/>
    <w:next w:val="691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91"/>
    <w:next w:val="691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paragraph" w:styleId="727" w:customStyle="1">
    <w:name w:val="Верхний колонтитул1"/>
    <w:basedOn w:val="691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 w:customStyle="1">
    <w:name w:val="Header Char"/>
    <w:link w:val="727"/>
    <w:uiPriority w:val="99"/>
  </w:style>
  <w:style w:type="paragraph" w:styleId="729" w:customStyle="1">
    <w:name w:val="Нижний колонтитул1"/>
    <w:basedOn w:val="691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 w:customStyle="1">
    <w:name w:val="Footer Char"/>
    <w:link w:val="729"/>
    <w:uiPriority w:val="99"/>
  </w:style>
  <w:style w:type="paragraph" w:styleId="731" w:customStyle="1">
    <w:name w:val="Название объекта1"/>
    <w:basedOn w:val="691"/>
    <w:next w:val="691"/>
    <w:link w:val="732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32" w:customStyle="1">
    <w:name w:val="Caption Char"/>
    <w:link w:val="731"/>
    <w:uiPriority w:val="35"/>
    <w:rPr>
      <w:b/>
      <w:bCs/>
      <w:color w:val="5b9bd5" w:themeColor="accent1"/>
      <w:sz w:val="18"/>
      <w:szCs w:val="18"/>
    </w:rPr>
  </w:style>
  <w:style w:type="table" w:styleId="733">
    <w:name w:val="Table Grid"/>
    <w:basedOn w:val="69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4" w:customStyle="1">
    <w:name w:val="Table Grid Light"/>
    <w:basedOn w:val="69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5" w:customStyle="1">
    <w:name w:val="Таблица простая 11"/>
    <w:basedOn w:val="69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 w:customStyle="1">
    <w:name w:val="Таблица простая 21"/>
    <w:basedOn w:val="69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 w:customStyle="1">
    <w:name w:val="Таблица простая 3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 w:customStyle="1">
    <w:name w:val="Таблица простая 4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Таблица простая 5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 w:customStyle="1">
    <w:name w:val="Таблица-сетка 1 светл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Таблица-сетка 2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Таблица-сетка 3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Таблица-сетка 41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3" w:customStyle="1">
    <w:name w:val="Grid Table 4 - Accent 2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4" w:customStyle="1">
    <w:name w:val="Grid Table 4 - Accent 3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5" w:customStyle="1">
    <w:name w:val="Grid Table 4 - Accent 4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6" w:customStyle="1">
    <w:name w:val="Grid Table 4 - Accent 5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7" w:customStyle="1">
    <w:name w:val="Grid Table 4 - Accent 6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8" w:customStyle="1">
    <w:name w:val="Таблица-сетка 5 тем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5" w:customStyle="1">
    <w:name w:val="Таблица-сетка 6 цвет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7" w:customStyle="1">
    <w:name w:val="Grid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8" w:customStyle="1">
    <w:name w:val="Grid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9" w:customStyle="1">
    <w:name w:val="Grid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0" w:customStyle="1">
    <w:name w:val="Grid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1" w:customStyle="1">
    <w:name w:val="Grid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2" w:customStyle="1">
    <w:name w:val="Таблица-сетка 7 цвет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Список-таблица 1 светлая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Список-таблица 2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3" w:customStyle="1">
    <w:name w:val="Список-таблица 3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Список-таблица 4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Список-таблица 5 тем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Список-таблица 6 цвет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6" w:customStyle="1">
    <w:name w:val="List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7" w:customStyle="1">
    <w:name w:val="List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8" w:customStyle="1">
    <w:name w:val="List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9" w:customStyle="1">
    <w:name w:val="List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0" w:customStyle="1">
    <w:name w:val="List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1" w:customStyle="1">
    <w:name w:val="Список-таблица 7 цвет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ned - Accent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Lined - Accent 2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Lined - Accent 3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Lined - Accent 4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Lined - Accent 5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Lined - Accent 6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 &amp; Lined - Accent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7" w:customStyle="1">
    <w:name w:val="Bordered &amp; Lined - Accent 2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Bordered &amp; Lined - Accent 3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Bordered &amp; Lined - Accent 4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Bordered &amp; Lined - Accent 5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1" w:customStyle="1">
    <w:name w:val="Bordered &amp; Lined - Accent 6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4" w:customStyle="1">
    <w:name w:val="Bordered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5" w:customStyle="1">
    <w:name w:val="Bordered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6" w:customStyle="1">
    <w:name w:val="Bordered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7" w:customStyle="1">
    <w:name w:val="Bordered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8" w:customStyle="1">
    <w:name w:val="Bordered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9">
    <w:name w:val="Hyperlink"/>
    <w:uiPriority w:val="99"/>
    <w:unhideWhenUsed/>
    <w:rPr>
      <w:color w:val="0563c1" w:themeColor="hyperlink"/>
      <w:u w:val="single"/>
    </w:rPr>
  </w:style>
  <w:style w:type="paragraph" w:styleId="860">
    <w:name w:val="footnote text"/>
    <w:basedOn w:val="691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uiPriority w:val="99"/>
    <w:unhideWhenUsed/>
    <w:rPr>
      <w:vertAlign w:val="superscript"/>
    </w:rPr>
  </w:style>
  <w:style w:type="paragraph" w:styleId="863">
    <w:name w:val="endnote text"/>
    <w:basedOn w:val="691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uiPriority w:val="99"/>
    <w:semiHidden/>
    <w:unhideWhenUsed/>
    <w:rPr>
      <w:vertAlign w:val="superscript"/>
    </w:rPr>
  </w:style>
  <w:style w:type="paragraph" w:styleId="866">
    <w:name w:val="toc 1"/>
    <w:basedOn w:val="691"/>
    <w:next w:val="691"/>
    <w:uiPriority w:val="39"/>
    <w:unhideWhenUsed/>
    <w:pPr>
      <w:spacing w:after="57"/>
    </w:pPr>
  </w:style>
  <w:style w:type="paragraph" w:styleId="867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8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9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70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71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72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73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74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1"/>
    <w:next w:val="691"/>
    <w:uiPriority w:val="99"/>
    <w:unhideWhenUsed/>
    <w:pPr>
      <w:spacing w:after="0"/>
    </w:pPr>
  </w:style>
  <w:style w:type="paragraph" w:styleId="877">
    <w:name w:val="No Spacing"/>
    <w:basedOn w:val="691"/>
    <w:uiPriority w:val="1"/>
    <w:qFormat/>
    <w:pPr>
      <w:spacing w:after="0" w:line="240" w:lineRule="auto"/>
    </w:pPr>
  </w:style>
  <w:style w:type="paragraph" w:styleId="878">
    <w:name w:val="List Paragraph"/>
    <w:basedOn w:val="691"/>
    <w:uiPriority w:val="34"/>
    <w:qFormat/>
    <w:pPr>
      <w:contextualSpacing/>
      <w:ind w:left="720"/>
    </w:pPr>
  </w:style>
  <w:style w:type="paragraph" w:styleId="879" w:customStyle="1">
    <w:name w:val="ConsPlusNormal"/>
    <w:pPr>
      <w:ind w:firstLine="720"/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sz w:val="20"/>
      <w:szCs w:val="20"/>
      <w:lang w:eastAsia="ru-RU"/>
    </w:rPr>
  </w:style>
  <w:style w:type="paragraph" w:styleId="880" w:customStyle="1">
    <w:name w:val="ConsPlusTitle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881" w:customStyle="1">
    <w:name w:val="Знак примечания1"/>
    <w:uiPriority w:val="99"/>
    <w:semiHidden/>
    <w:unhideWhenUsed/>
    <w:rPr>
      <w:sz w:val="16"/>
      <w:szCs w:val="16"/>
    </w:rPr>
  </w:style>
  <w:style w:type="paragraph" w:styleId="882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883">
    <w:name w:val="annotation reference"/>
    <w:basedOn w:val="692"/>
    <w:uiPriority w:val="99"/>
    <w:semiHidden/>
    <w:unhideWhenUsed/>
    <w:rPr>
      <w:sz w:val="16"/>
      <w:szCs w:val="16"/>
    </w:rPr>
  </w:style>
  <w:style w:type="paragraph" w:styleId="884">
    <w:name w:val="annotation text"/>
    <w:basedOn w:val="691"/>
    <w:link w:val="885"/>
    <w:uiPriority w:val="99"/>
    <w:unhideWhenUsed/>
    <w:pPr>
      <w:spacing w:line="240" w:lineRule="auto"/>
    </w:pPr>
    <w:rPr>
      <w:sz w:val="20"/>
      <w:szCs w:val="20"/>
    </w:rPr>
  </w:style>
  <w:style w:type="character" w:styleId="885" w:customStyle="1">
    <w:name w:val="Текст примечания Знак"/>
    <w:basedOn w:val="692"/>
    <w:link w:val="884"/>
    <w:uiPriority w:val="99"/>
    <w:rPr>
      <w:sz w:val="20"/>
      <w:szCs w:val="20"/>
    </w:rPr>
  </w:style>
  <w:style w:type="paragraph" w:styleId="886">
    <w:name w:val="annotation subject"/>
    <w:basedOn w:val="884"/>
    <w:next w:val="884"/>
    <w:link w:val="887"/>
    <w:uiPriority w:val="99"/>
    <w:semiHidden/>
    <w:unhideWhenUsed/>
    <w:rPr>
      <w:b/>
      <w:bCs/>
    </w:rPr>
  </w:style>
  <w:style w:type="character" w:styleId="887" w:customStyle="1">
    <w:name w:val="Тема примечания Знак"/>
    <w:basedOn w:val="885"/>
    <w:link w:val="886"/>
    <w:uiPriority w:val="99"/>
    <w:semiHidden/>
    <w:rPr>
      <w:b/>
      <w:bCs/>
      <w:sz w:val="20"/>
      <w:szCs w:val="20"/>
    </w:rPr>
  </w:style>
  <w:style w:type="paragraph" w:styleId="888">
    <w:name w:val="Balloon Text"/>
    <w:basedOn w:val="691"/>
    <w:link w:val="88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9" w:customStyle="1">
    <w:name w:val="Текст выноски Знак"/>
    <w:basedOn w:val="692"/>
    <w:link w:val="88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login.consultant.ru/link/?req=doc&amp;base=LAW&amp;n=531468" TargetMode="External"/><Relationship Id="rId11" Type="http://schemas.openxmlformats.org/officeDocument/2006/relationships/hyperlink" Target="https://login.consultant.ru/link/?req=doc&amp;base=LAW&amp;n=523235&amp;dst=100093" TargetMode="External"/><Relationship Id="rId12" Type="http://schemas.openxmlformats.org/officeDocument/2006/relationships/hyperlink" Target="consultantplus://offline/ref=6A3E0D665C7924504704225AAE787ED1C8EAFFF41459B527658F504B727187640E3B6CE3CFAD788C21778B04117DC6FC2144E43Ek4Q6I" TargetMode="External"/><Relationship Id="rId13" Type="http://schemas.openxmlformats.org/officeDocument/2006/relationships/hyperlink" Target="consultantplus://offline/ref=6A3E0D665C7924504704225AAE787ED1C8EAFFF41459B527658F504B727187640E3B6CE4C3A22BD63173C2531E61C4E53F41FA3E4797k7Q4I" TargetMode="External"/><Relationship Id="rId14" Type="http://schemas.openxmlformats.org/officeDocument/2006/relationships/hyperlink" Target="consultantplus://offline/ref=6A3E0D665C7924504704225AAE787ED1C8EAFFF41459B527658F504B727187640E3B6CE4C3A125D63173C2531E61C4E53F41FA3E4797k7Q4I" TargetMode="External"/><Relationship Id="rId15" Type="http://schemas.openxmlformats.org/officeDocument/2006/relationships/hyperlink" Target="consultantplus://offline/ref=5CE7C923BB2FC058A84AC020CDD6EB01E27DF5269A02FFA0CFCB996B6CC05746C931B076C54D84964576FFB91B98A1D3F85D215D3E6E855B895CD4y3E7I" TargetMode="External"/><Relationship Id="rId16" Type="http://schemas.openxmlformats.org/officeDocument/2006/relationships/hyperlink" Target="https://login.consultant.ru/link/?req=doc&amp;base=SPB&amp;n=324440&amp;dst=100198" TargetMode="External"/><Relationship Id="rId17" Type="http://schemas.openxmlformats.org/officeDocument/2006/relationships/hyperlink" Target="https://login.consultant.ru/link/?req=doc&amp;base=SPB&amp;n=324440&amp;dst=10019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Бочкина Инна Сергеевна</dc:creator>
  <cp:lastModifiedBy>azlobin@mo.adm-nmar.ru</cp:lastModifiedBy>
  <cp:revision>6</cp:revision>
  <dcterms:created xsi:type="dcterms:W3CDTF">2026-09-21T08:29:00Z</dcterms:created>
  <dcterms:modified xsi:type="dcterms:W3CDTF">2026-10-22T06:43:48Z</dcterms:modified>
</cp:coreProperties>
</file>