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DBA" w:rsidRPr="00362DBA" w:rsidRDefault="00362DBA" w:rsidP="00362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 размещения нестационарного торгового объекта на кадастровом плане территории</w:t>
      </w:r>
    </w:p>
    <w:p w:rsidR="00362DBA" w:rsidRPr="00362DBA" w:rsidRDefault="00362DBA" w:rsidP="00362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4904" w:type="pct"/>
        <w:tblInd w:w="6" w:type="dxa"/>
        <w:tblLook w:val="04A0" w:firstRow="1" w:lastRow="0" w:firstColumn="1" w:lastColumn="0" w:noHBand="0" w:noVBand="1"/>
      </w:tblPr>
      <w:tblGrid>
        <w:gridCol w:w="3056"/>
        <w:gridCol w:w="3056"/>
        <w:gridCol w:w="3054"/>
      </w:tblGrid>
      <w:tr w:rsidR="00362DBA" w:rsidRPr="00362DBA" w:rsidTr="002D0127">
        <w:trPr>
          <w:trHeight w:val="208"/>
        </w:trPr>
        <w:tc>
          <w:tcPr>
            <w:tcW w:w="4999" w:type="pct"/>
            <w:gridSpan w:val="3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Адрес (местоположение): Ненецкий автономный округ, г. Нарьян-Мар, ул. Полярная, в районе д. 9</w:t>
            </w:r>
          </w:p>
        </w:tc>
      </w:tr>
      <w:tr w:rsidR="00362DBA" w:rsidRPr="00362DBA" w:rsidTr="002D0127">
        <w:trPr>
          <w:trHeight w:val="208"/>
        </w:trPr>
        <w:tc>
          <w:tcPr>
            <w:tcW w:w="4999" w:type="pct"/>
            <w:gridSpan w:val="3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Площадь земельного участка: 20 м²</w:t>
            </w:r>
          </w:p>
        </w:tc>
      </w:tr>
      <w:tr w:rsidR="00362DBA" w:rsidRPr="00362DBA" w:rsidTr="002D0127">
        <w:trPr>
          <w:trHeight w:val="224"/>
        </w:trPr>
        <w:tc>
          <w:tcPr>
            <w:tcW w:w="1667" w:type="pct"/>
            <w:vMerge w:val="restar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Координаты, м</w:t>
            </w:r>
          </w:p>
        </w:tc>
      </w:tr>
      <w:tr w:rsidR="00362DBA" w:rsidRPr="00362DBA" w:rsidTr="002D0127">
        <w:trPr>
          <w:trHeight w:val="167"/>
        </w:trPr>
        <w:tc>
          <w:tcPr>
            <w:tcW w:w="1667" w:type="pct"/>
            <w:vMerge/>
            <w:vAlign w:val="center"/>
          </w:tcPr>
          <w:p w:rsidR="00362DBA" w:rsidRPr="00362DBA" w:rsidRDefault="00362DBA" w:rsidP="00362D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66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  <w:lang w:val="en-US"/>
              </w:rPr>
              <w:t>Y</w:t>
            </w:r>
          </w:p>
        </w:tc>
      </w:tr>
      <w:tr w:rsidR="00362DBA" w:rsidRPr="00362DBA" w:rsidTr="002D0127">
        <w:trPr>
          <w:trHeight w:val="208"/>
        </w:trPr>
        <w:tc>
          <w:tcPr>
            <w:tcW w:w="1667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1</w:t>
            </w:r>
          </w:p>
        </w:tc>
        <w:tc>
          <w:tcPr>
            <w:tcW w:w="1667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2</w:t>
            </w:r>
          </w:p>
        </w:tc>
        <w:tc>
          <w:tcPr>
            <w:tcW w:w="1666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3</w:t>
            </w:r>
          </w:p>
        </w:tc>
      </w:tr>
      <w:tr w:rsidR="00362DBA" w:rsidRPr="00362DBA" w:rsidTr="002D0127">
        <w:trPr>
          <w:trHeight w:val="208"/>
        </w:trPr>
        <w:tc>
          <w:tcPr>
            <w:tcW w:w="1667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1</w:t>
            </w:r>
          </w:p>
        </w:tc>
        <w:tc>
          <w:tcPr>
            <w:tcW w:w="1667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998378,90</w:t>
            </w:r>
          </w:p>
        </w:tc>
        <w:tc>
          <w:tcPr>
            <w:tcW w:w="1666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  <w:lang w:val="en-US"/>
              </w:rPr>
            </w:pPr>
            <w:r w:rsidRPr="00362DBA">
              <w:rPr>
                <w:sz w:val="16"/>
                <w:szCs w:val="16"/>
              </w:rPr>
              <w:t>5271356,90</w:t>
            </w:r>
          </w:p>
        </w:tc>
      </w:tr>
      <w:tr w:rsidR="00362DBA" w:rsidRPr="00362DBA" w:rsidTr="002D0127">
        <w:trPr>
          <w:trHeight w:val="208"/>
        </w:trPr>
        <w:tc>
          <w:tcPr>
            <w:tcW w:w="1667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2</w:t>
            </w:r>
          </w:p>
        </w:tc>
        <w:tc>
          <w:tcPr>
            <w:tcW w:w="1667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  <w:lang w:val="en-US"/>
              </w:rPr>
            </w:pPr>
            <w:r w:rsidRPr="00362DBA">
              <w:rPr>
                <w:sz w:val="16"/>
                <w:szCs w:val="16"/>
              </w:rPr>
              <w:t>998380,78</w:t>
            </w:r>
          </w:p>
        </w:tc>
        <w:tc>
          <w:tcPr>
            <w:tcW w:w="1666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  <w:lang w:val="en-US"/>
              </w:rPr>
            </w:pPr>
            <w:r w:rsidRPr="00362DBA">
              <w:rPr>
                <w:sz w:val="16"/>
                <w:szCs w:val="16"/>
              </w:rPr>
              <w:t>5271361,66</w:t>
            </w:r>
          </w:p>
        </w:tc>
      </w:tr>
      <w:tr w:rsidR="00362DBA" w:rsidRPr="00362DBA" w:rsidTr="002D0127">
        <w:trPr>
          <w:trHeight w:val="208"/>
        </w:trPr>
        <w:tc>
          <w:tcPr>
            <w:tcW w:w="1667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3</w:t>
            </w:r>
          </w:p>
        </w:tc>
        <w:tc>
          <w:tcPr>
            <w:tcW w:w="1667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  <w:lang w:val="en-US"/>
              </w:rPr>
            </w:pPr>
            <w:r w:rsidRPr="00362DBA">
              <w:rPr>
                <w:sz w:val="16"/>
                <w:szCs w:val="16"/>
              </w:rPr>
              <w:t>998376,87</w:t>
            </w:r>
          </w:p>
        </w:tc>
        <w:tc>
          <w:tcPr>
            <w:tcW w:w="1666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  <w:lang w:val="en-US"/>
              </w:rPr>
            </w:pPr>
            <w:r w:rsidRPr="00362DBA">
              <w:rPr>
                <w:sz w:val="16"/>
                <w:szCs w:val="16"/>
              </w:rPr>
              <w:t>5271363,08</w:t>
            </w:r>
          </w:p>
        </w:tc>
      </w:tr>
      <w:tr w:rsidR="00362DBA" w:rsidRPr="00362DBA" w:rsidTr="002D0127">
        <w:trPr>
          <w:trHeight w:val="208"/>
        </w:trPr>
        <w:tc>
          <w:tcPr>
            <w:tcW w:w="1667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4</w:t>
            </w:r>
          </w:p>
        </w:tc>
        <w:tc>
          <w:tcPr>
            <w:tcW w:w="1667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  <w:lang w:val="en-US"/>
              </w:rPr>
            </w:pPr>
            <w:r w:rsidRPr="00362DBA">
              <w:rPr>
                <w:sz w:val="16"/>
                <w:szCs w:val="16"/>
              </w:rPr>
              <w:t>998375,08</w:t>
            </w:r>
          </w:p>
        </w:tc>
        <w:tc>
          <w:tcPr>
            <w:tcW w:w="1666" w:type="pct"/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  <w:lang w:val="en-US"/>
              </w:rPr>
            </w:pPr>
            <w:r w:rsidRPr="00362DBA">
              <w:rPr>
                <w:sz w:val="16"/>
                <w:szCs w:val="16"/>
              </w:rPr>
              <w:t>5271358,33</w:t>
            </w:r>
          </w:p>
        </w:tc>
      </w:tr>
      <w:tr w:rsidR="00362DBA" w:rsidRPr="00362DBA" w:rsidTr="002D0127">
        <w:trPr>
          <w:trHeight w:val="208"/>
        </w:trPr>
        <w:tc>
          <w:tcPr>
            <w:tcW w:w="1667" w:type="pct"/>
            <w:tcBorders>
              <w:bottom w:val="single" w:sz="6" w:space="0" w:color="auto"/>
            </w:tcBorders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1</w:t>
            </w:r>
          </w:p>
        </w:tc>
        <w:tc>
          <w:tcPr>
            <w:tcW w:w="1667" w:type="pct"/>
            <w:tcBorders>
              <w:bottom w:val="single" w:sz="6" w:space="0" w:color="auto"/>
            </w:tcBorders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998378,90</w:t>
            </w:r>
          </w:p>
        </w:tc>
        <w:tc>
          <w:tcPr>
            <w:tcW w:w="1666" w:type="pct"/>
            <w:tcBorders>
              <w:bottom w:val="single" w:sz="6" w:space="0" w:color="auto"/>
            </w:tcBorders>
            <w:vAlign w:val="center"/>
          </w:tcPr>
          <w:p w:rsidR="00362DBA" w:rsidRPr="00362DBA" w:rsidRDefault="00362DBA" w:rsidP="00362DBA">
            <w:pPr>
              <w:jc w:val="center"/>
              <w:rPr>
                <w:sz w:val="16"/>
                <w:szCs w:val="16"/>
              </w:rPr>
            </w:pPr>
            <w:r w:rsidRPr="00362DBA">
              <w:rPr>
                <w:sz w:val="16"/>
                <w:szCs w:val="16"/>
              </w:rPr>
              <w:t>5271356,90</w:t>
            </w:r>
          </w:p>
        </w:tc>
      </w:tr>
      <w:tr w:rsidR="00362DBA" w:rsidRPr="00362DBA" w:rsidTr="002D0127">
        <w:trPr>
          <w:trHeight w:val="10813"/>
        </w:trPr>
        <w:tc>
          <w:tcPr>
            <w:tcW w:w="499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DBA" w:rsidRPr="00362DBA" w:rsidRDefault="00362DBA" w:rsidP="00362DBA">
            <w:pPr>
              <w:rPr>
                <w:sz w:val="10"/>
                <w:szCs w:val="10"/>
              </w:rPr>
            </w:pPr>
          </w:p>
          <w:p w:rsidR="00362DBA" w:rsidRPr="00362DBA" w:rsidRDefault="00362DBA" w:rsidP="00362DBA">
            <w:pPr>
              <w:jc w:val="center"/>
              <w:rPr>
                <w:sz w:val="10"/>
                <w:szCs w:val="10"/>
              </w:rPr>
            </w:pPr>
            <w:r w:rsidRPr="00362DBA">
              <w:rPr>
                <w:sz w:val="10"/>
                <w:szCs w:val="10"/>
              </w:rPr>
              <w:t xml:space="preserve">  </w:t>
            </w:r>
            <w:r w:rsidRPr="00362DBA">
              <w:rPr>
                <w:noProof/>
                <w:sz w:val="10"/>
                <w:szCs w:val="10"/>
              </w:rPr>
              <w:drawing>
                <wp:inline distT="0" distB="0" distL="0" distR="0" wp14:anchorId="1C75D2F7" wp14:editId="6F2B1AFB">
                  <wp:extent cx="5267325" cy="53816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538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BA" w:rsidRPr="00362DBA" w:rsidRDefault="00362DBA" w:rsidP="00362DBA">
            <w:pPr>
              <w:rPr>
                <w:sz w:val="24"/>
                <w:szCs w:val="24"/>
              </w:rPr>
            </w:pPr>
            <w:r w:rsidRPr="00362DBA">
              <w:rPr>
                <w:sz w:val="24"/>
                <w:szCs w:val="24"/>
              </w:rPr>
              <w:t xml:space="preserve">Условные </w:t>
            </w:r>
            <w:proofErr w:type="gramStart"/>
            <w:r w:rsidRPr="00362DBA">
              <w:rPr>
                <w:sz w:val="24"/>
                <w:szCs w:val="24"/>
              </w:rPr>
              <w:t xml:space="preserve">обозначения:   </w:t>
            </w:r>
            <w:proofErr w:type="gramEnd"/>
            <w:r w:rsidRPr="00362DBA">
              <w:rPr>
                <w:sz w:val="24"/>
                <w:szCs w:val="24"/>
              </w:rPr>
              <w:t xml:space="preserve">                                 Масштаб 1:500</w:t>
            </w:r>
          </w:p>
          <w:p w:rsidR="00362DBA" w:rsidRPr="00362DBA" w:rsidRDefault="00362DBA" w:rsidP="00362DBA">
            <w:pPr>
              <w:ind w:left="1134" w:hanging="708"/>
              <w:rPr>
                <w:sz w:val="24"/>
                <w:szCs w:val="24"/>
              </w:rPr>
            </w:pPr>
            <w:r w:rsidRPr="00362DBA">
              <w:rPr>
                <w:sz w:val="24"/>
                <w:szCs w:val="24"/>
              </w:rPr>
              <w:t>•1        Характерная точка границы, сведения о которой позволяют однозначно определить ее положение на местности.</w:t>
            </w:r>
          </w:p>
          <w:p w:rsidR="00362DBA" w:rsidRPr="00362DBA" w:rsidRDefault="00362DBA" w:rsidP="00362DBA">
            <w:pPr>
              <w:ind w:left="1134" w:hanging="1134"/>
              <w:rPr>
                <w:sz w:val="24"/>
                <w:szCs w:val="24"/>
              </w:rPr>
            </w:pPr>
            <w:r w:rsidRPr="00362DB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40005</wp:posOffset>
                      </wp:positionV>
                      <wp:extent cx="604520" cy="174625"/>
                      <wp:effectExtent l="10795" t="11430" r="13335" b="13970"/>
                      <wp:wrapNone/>
                      <wp:docPr id="2" name="Блок-схема: процесс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520" cy="1746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lgDashDot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788DD1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2" o:spid="_x0000_s1026" type="#_x0000_t109" style="position:absolute;margin-left:2.35pt;margin-top:3.15pt;width:47.6pt;height: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" strokeweight="1.5pt">
                      <v:stroke dashstyle="longDashDot"/>
                      <v:shadow color="#868686"/>
                    </v:shape>
                  </w:pict>
                </mc:Fallback>
              </mc:AlternateContent>
            </w:r>
            <w:r w:rsidRPr="00362DBA">
              <w:rPr>
                <w:sz w:val="24"/>
                <w:szCs w:val="24"/>
              </w:rPr>
              <w:t xml:space="preserve">                      Границы территории под размещение нестационарного торгового объекта.</w:t>
            </w:r>
          </w:p>
          <w:p w:rsidR="00362DBA" w:rsidRPr="00362DBA" w:rsidRDefault="00362DBA" w:rsidP="00362DBA">
            <w:pPr>
              <w:tabs>
                <w:tab w:val="left" w:pos="1102"/>
              </w:tabs>
              <w:rPr>
                <w:sz w:val="16"/>
                <w:szCs w:val="16"/>
              </w:rPr>
            </w:pPr>
          </w:p>
        </w:tc>
      </w:tr>
    </w:tbl>
    <w:p w:rsidR="00294B44" w:rsidRDefault="00294B44">
      <w:bookmarkStart w:id="0" w:name="_GoBack"/>
      <w:bookmarkEnd w:id="0"/>
    </w:p>
    <w:sectPr w:rsidR="00294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A4"/>
    <w:rsid w:val="00294B44"/>
    <w:rsid w:val="00362DBA"/>
    <w:rsid w:val="00B6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20997-CC8F-4802-AA8A-BA875D00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2020-08-17T13:23:00Z</dcterms:created>
  <dcterms:modified xsi:type="dcterms:W3CDTF">2020-08-17T13:24:00Z</dcterms:modified>
</cp:coreProperties>
</file>