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6630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5"/>
          <w:szCs w:val="25"/>
        </w:rPr>
      </w:pPr>
      <w:r w:rsidRPr="006630C9">
        <w:rPr>
          <w:rFonts w:ascii="Times New Roman" w:hAnsi="Times New Roman" w:cs="Times New Roman"/>
          <w:b/>
          <w:sz w:val="25"/>
          <w:szCs w:val="25"/>
        </w:rPr>
        <w:t xml:space="preserve">Сводка предложений </w:t>
      </w:r>
    </w:p>
    <w:p w:rsidR="00481A08" w:rsidRPr="006630C9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30C9">
        <w:rPr>
          <w:rFonts w:ascii="Times New Roman" w:hAnsi="Times New Roman" w:cs="Times New Roman"/>
          <w:b/>
          <w:sz w:val="25"/>
          <w:szCs w:val="25"/>
        </w:rPr>
        <w:t xml:space="preserve">к проекту </w:t>
      </w:r>
      <w:r w:rsidR="00922A15" w:rsidRPr="006630C9">
        <w:rPr>
          <w:rFonts w:ascii="Times New Roman" w:hAnsi="Times New Roman" w:cs="Times New Roman"/>
          <w:b/>
          <w:sz w:val="25"/>
          <w:szCs w:val="25"/>
        </w:rPr>
        <w:t xml:space="preserve">постановления Администрации </w:t>
      </w:r>
      <w:r w:rsidR="0012695A" w:rsidRPr="006630C9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</w:t>
      </w:r>
      <w:r w:rsidR="00922A15" w:rsidRPr="006630C9">
        <w:rPr>
          <w:rFonts w:ascii="Times New Roman" w:hAnsi="Times New Roman" w:cs="Times New Roman"/>
          <w:b/>
          <w:sz w:val="25"/>
          <w:szCs w:val="25"/>
        </w:rPr>
        <w:t>"Городской округ "Город Нарьян-Мар"</w:t>
      </w:r>
      <w:r w:rsidR="0012695A" w:rsidRPr="006630C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A59F2" w:rsidRPr="006630C9">
        <w:rPr>
          <w:rFonts w:ascii="Times New Roman" w:hAnsi="Times New Roman" w:cs="Times New Roman"/>
          <w:b/>
          <w:sz w:val="25"/>
          <w:szCs w:val="25"/>
        </w:rPr>
        <w:t xml:space="preserve">"О внесении изменений в постановление Администрации МО "Городской округ "Город Нарьян-Мар" от 16.04.2019 № 421 </w:t>
      </w:r>
      <w:r w:rsidR="005A59F2" w:rsidRPr="006630C9">
        <w:rPr>
          <w:rFonts w:ascii="Times New Roman" w:hAnsi="Times New Roman" w:cs="Times New Roman"/>
          <w:b/>
          <w:sz w:val="25"/>
          <w:szCs w:val="25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5A59F2" w:rsidRPr="006630C9">
        <w:rPr>
          <w:rFonts w:ascii="Times New Roman" w:hAnsi="Times New Roman" w:cs="Times New Roman"/>
          <w:b/>
          <w:sz w:val="25"/>
          <w:szCs w:val="25"/>
        </w:rPr>
        <w:t>"</w:t>
      </w:r>
    </w:p>
    <w:p w:rsidR="00922A15" w:rsidRPr="006630C9" w:rsidRDefault="00922A15" w:rsidP="00C53086">
      <w:pPr>
        <w:spacing w:before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E61F9A" w:rsidRPr="006630C9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630C9">
        <w:rPr>
          <w:rFonts w:ascii="Times New Roman" w:hAnsi="Times New Roman" w:cs="Times New Roman"/>
          <w:sz w:val="25"/>
          <w:szCs w:val="25"/>
        </w:rPr>
        <w:t>В соответствии с раздело</w:t>
      </w:r>
      <w:r w:rsidR="00E118AB" w:rsidRPr="006630C9">
        <w:rPr>
          <w:rFonts w:ascii="Times New Roman" w:hAnsi="Times New Roman" w:cs="Times New Roman"/>
          <w:sz w:val="25"/>
          <w:szCs w:val="25"/>
        </w:rPr>
        <w:t>м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127217" w:rsidRPr="006630C9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Порядк</w:t>
      </w:r>
      <w:r w:rsidR="00127217" w:rsidRPr="006630C9">
        <w:rPr>
          <w:rFonts w:ascii="Times New Roman" w:hAnsi="Times New Roman" w:cs="Times New Roman"/>
          <w:sz w:val="25"/>
          <w:szCs w:val="25"/>
        </w:rPr>
        <w:t>а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</w:r>
      <w:r w:rsidR="002F5E3F" w:rsidRPr="006630C9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6630C9">
        <w:rPr>
          <w:rFonts w:ascii="Times New Roman" w:hAnsi="Times New Roman" w:cs="Times New Roman"/>
          <w:sz w:val="25"/>
          <w:szCs w:val="25"/>
        </w:rPr>
        <w:t xml:space="preserve"> "Городской округ "Город Нарьян-Мар" от 2</w:t>
      </w:r>
      <w:r w:rsidR="002F5E3F" w:rsidRPr="006630C9">
        <w:rPr>
          <w:rFonts w:ascii="Times New Roman" w:hAnsi="Times New Roman" w:cs="Times New Roman"/>
          <w:sz w:val="25"/>
          <w:szCs w:val="25"/>
        </w:rPr>
        <w:t>4</w:t>
      </w:r>
      <w:r w:rsidRPr="006630C9">
        <w:rPr>
          <w:rFonts w:ascii="Times New Roman" w:hAnsi="Times New Roman" w:cs="Times New Roman"/>
          <w:sz w:val="25"/>
          <w:szCs w:val="25"/>
        </w:rPr>
        <w:t>.1</w:t>
      </w:r>
      <w:r w:rsidR="002F5E3F" w:rsidRPr="006630C9">
        <w:rPr>
          <w:rFonts w:ascii="Times New Roman" w:hAnsi="Times New Roman" w:cs="Times New Roman"/>
          <w:sz w:val="25"/>
          <w:szCs w:val="25"/>
        </w:rPr>
        <w:t>0</w:t>
      </w:r>
      <w:r w:rsidRPr="006630C9">
        <w:rPr>
          <w:rFonts w:ascii="Times New Roman" w:hAnsi="Times New Roman" w:cs="Times New Roman"/>
          <w:sz w:val="25"/>
          <w:szCs w:val="25"/>
        </w:rPr>
        <w:t>.201</w:t>
      </w:r>
      <w:r w:rsidR="002F5E3F" w:rsidRPr="006630C9">
        <w:rPr>
          <w:rFonts w:ascii="Times New Roman" w:hAnsi="Times New Roman" w:cs="Times New Roman"/>
          <w:sz w:val="25"/>
          <w:szCs w:val="25"/>
        </w:rPr>
        <w:t>9</w:t>
      </w:r>
      <w:r w:rsidRPr="006630C9">
        <w:rPr>
          <w:rFonts w:ascii="Times New Roman" w:hAnsi="Times New Roman" w:cs="Times New Roman"/>
          <w:sz w:val="25"/>
          <w:szCs w:val="25"/>
        </w:rPr>
        <w:t xml:space="preserve"> №</w:t>
      </w:r>
      <w:r w:rsidR="002F5E3F" w:rsidRPr="006630C9">
        <w:rPr>
          <w:rFonts w:ascii="Times New Roman" w:hAnsi="Times New Roman" w:cs="Times New Roman"/>
          <w:sz w:val="25"/>
          <w:szCs w:val="25"/>
        </w:rPr>
        <w:t xml:space="preserve"> 1003</w:t>
      </w:r>
      <w:r w:rsidR="00E118AB" w:rsidRPr="006630C9">
        <w:rPr>
          <w:rFonts w:ascii="Times New Roman" w:hAnsi="Times New Roman" w:cs="Times New Roman"/>
          <w:sz w:val="25"/>
          <w:szCs w:val="25"/>
        </w:rPr>
        <w:t>,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8D21D0" w:rsidRPr="006630C9">
        <w:rPr>
          <w:rFonts w:ascii="Times New Roman" w:hAnsi="Times New Roman" w:cs="Times New Roman"/>
          <w:sz w:val="25"/>
          <w:szCs w:val="25"/>
        </w:rPr>
        <w:t>у</w:t>
      </w:r>
      <w:r w:rsidRPr="006630C9">
        <w:rPr>
          <w:rFonts w:ascii="Times New Roman" w:hAnsi="Times New Roman" w:cs="Times New Roman"/>
          <w:sz w:val="25"/>
          <w:szCs w:val="25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</w:t>
      </w:r>
      <w:proofErr w:type="gramEnd"/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2F5E3F" w:rsidRPr="006630C9">
        <w:rPr>
          <w:rFonts w:ascii="Times New Roman" w:hAnsi="Times New Roman" w:cs="Times New Roman"/>
          <w:sz w:val="25"/>
          <w:szCs w:val="25"/>
        </w:rPr>
        <w:t xml:space="preserve">муниципального образования "Городской округ "Город Нарьян-Мар" "О внесении изменений в постановление Администрации МО "Городской округ "Город Нарьян-Мар" от 16.04.2019 № 421 </w:t>
      </w:r>
      <w:r w:rsidR="002F5E3F" w:rsidRPr="006630C9">
        <w:rPr>
          <w:rFonts w:ascii="Times New Roman" w:hAnsi="Times New Roman" w:cs="Times New Roman"/>
          <w:sz w:val="25"/>
          <w:szCs w:val="25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2F5E3F" w:rsidRPr="006630C9">
        <w:rPr>
          <w:rFonts w:ascii="Times New Roman" w:hAnsi="Times New Roman" w:cs="Times New Roman"/>
          <w:sz w:val="25"/>
          <w:szCs w:val="25"/>
        </w:rPr>
        <w:t>"</w:t>
      </w:r>
      <w:r w:rsidRPr="006630C9">
        <w:rPr>
          <w:rFonts w:ascii="Times New Roman" w:eastAsia="Calibri" w:hAnsi="Times New Roman" w:cs="Times New Roman"/>
          <w:sz w:val="25"/>
          <w:szCs w:val="25"/>
        </w:rPr>
        <w:t xml:space="preserve"> (далее – проект постановления).</w:t>
      </w:r>
    </w:p>
    <w:p w:rsidR="00643040" w:rsidRPr="006630C9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 xml:space="preserve">Разработчиком проекта постановления является 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="00922A15" w:rsidRPr="006630C9">
        <w:rPr>
          <w:rFonts w:ascii="Times New Roman" w:hAnsi="Times New Roman" w:cs="Times New Roman"/>
          <w:sz w:val="25"/>
          <w:szCs w:val="25"/>
        </w:rPr>
        <w:t>экономического и инвестиционного развития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 Администрации МО "Городской округ "Город Нарьян-Мар".</w:t>
      </w:r>
    </w:p>
    <w:p w:rsidR="008E6C75" w:rsidRPr="006630C9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6630C9">
        <w:rPr>
          <w:rFonts w:ascii="Times New Roman" w:hAnsi="Times New Roman" w:cs="Times New Roman"/>
          <w:sz w:val="25"/>
          <w:szCs w:val="25"/>
        </w:rPr>
        <w:t>е</w:t>
      </w:r>
      <w:r w:rsidRPr="006630C9">
        <w:rPr>
          <w:rFonts w:ascii="Times New Roman" w:hAnsi="Times New Roman" w:cs="Times New Roman"/>
          <w:sz w:val="25"/>
          <w:szCs w:val="25"/>
        </w:rPr>
        <w:t xml:space="preserve"> Деятельность/Экономика/Оценка регулирующего воздействия</w:t>
      </w:r>
      <w:r w:rsidR="00081F5B" w:rsidRPr="006630C9">
        <w:rPr>
          <w:rFonts w:ascii="Times New Roman" w:hAnsi="Times New Roman" w:cs="Times New Roman"/>
          <w:sz w:val="25"/>
          <w:szCs w:val="25"/>
        </w:rPr>
        <w:t xml:space="preserve"> и </w:t>
      </w:r>
      <w:r w:rsidR="0006643C" w:rsidRPr="006630C9">
        <w:rPr>
          <w:rFonts w:ascii="Times New Roman" w:hAnsi="Times New Roman" w:cs="Times New Roman"/>
          <w:sz w:val="25"/>
          <w:szCs w:val="25"/>
        </w:rPr>
        <w:t xml:space="preserve">в </w:t>
      </w:r>
      <w:r w:rsidR="00081F5B" w:rsidRPr="006630C9">
        <w:rPr>
          <w:rFonts w:ascii="Times New Roman" w:hAnsi="Times New Roman" w:cs="Times New Roman"/>
          <w:sz w:val="25"/>
          <w:szCs w:val="25"/>
        </w:rPr>
        <w:t>н</w:t>
      </w:r>
      <w:r w:rsidRPr="006630C9">
        <w:rPr>
          <w:rFonts w:ascii="Times New Roman" w:hAnsi="Times New Roman" w:cs="Times New Roman"/>
          <w:sz w:val="25"/>
          <w:szCs w:val="25"/>
        </w:rPr>
        <w:t>овост</w:t>
      </w:r>
      <w:r w:rsidR="00081F5B" w:rsidRPr="006630C9">
        <w:rPr>
          <w:rFonts w:ascii="Times New Roman" w:hAnsi="Times New Roman" w:cs="Times New Roman"/>
          <w:sz w:val="25"/>
          <w:szCs w:val="25"/>
        </w:rPr>
        <w:t>ной ленте</w:t>
      </w:r>
      <w:r w:rsidR="0006643C" w:rsidRPr="006630C9">
        <w:rPr>
          <w:rFonts w:ascii="Times New Roman" w:hAnsi="Times New Roman" w:cs="Times New Roman"/>
          <w:sz w:val="25"/>
          <w:szCs w:val="25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6630C9">
        <w:rPr>
          <w:rFonts w:ascii="Times New Roman" w:eastAsia="Calibri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54361C" w:rsidRPr="006630C9">
        <w:rPr>
          <w:rFonts w:ascii="Times New Roman" w:hAnsi="Times New Roman" w:cs="Times New Roman"/>
          <w:sz w:val="25"/>
          <w:szCs w:val="25"/>
        </w:rPr>
        <w:t xml:space="preserve">Уполномоченному по защите </w:t>
      </w:r>
      <w:r w:rsidR="00031DA0" w:rsidRPr="006630C9">
        <w:rPr>
          <w:rFonts w:ascii="Times New Roman" w:hAnsi="Times New Roman" w:cs="Times New Roman"/>
          <w:sz w:val="25"/>
          <w:szCs w:val="25"/>
        </w:rPr>
        <w:t xml:space="preserve">прав </w:t>
      </w:r>
      <w:r w:rsidR="0054361C" w:rsidRPr="006630C9">
        <w:rPr>
          <w:rFonts w:ascii="Times New Roman" w:hAnsi="Times New Roman" w:cs="Times New Roman"/>
          <w:sz w:val="25"/>
          <w:szCs w:val="25"/>
        </w:rPr>
        <w:t xml:space="preserve">предпринимателей в Ненецком автономном округе, </w:t>
      </w:r>
      <w:r w:rsidR="0006643C" w:rsidRPr="006630C9">
        <w:rPr>
          <w:rFonts w:ascii="Times New Roman" w:hAnsi="Times New Roman" w:cs="Times New Roman"/>
          <w:bCs/>
          <w:sz w:val="25"/>
          <w:szCs w:val="25"/>
        </w:rPr>
        <w:t>АО</w:t>
      </w:r>
      <w:r w:rsidR="000376BE" w:rsidRPr="006630C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6643C" w:rsidRPr="006630C9">
        <w:rPr>
          <w:rFonts w:ascii="Times New Roman" w:hAnsi="Times New Roman" w:cs="Times New Roman"/>
          <w:bCs/>
          <w:sz w:val="25"/>
          <w:szCs w:val="25"/>
        </w:rPr>
        <w:t>"Центр развития бизнеса НАО",</w:t>
      </w:r>
      <w:r w:rsidR="00BD2F98" w:rsidRPr="006630C9">
        <w:rPr>
          <w:bCs/>
          <w:sz w:val="25"/>
          <w:szCs w:val="25"/>
        </w:rPr>
        <w:t xml:space="preserve"> </w:t>
      </w:r>
      <w:r w:rsidR="0054361C" w:rsidRPr="006630C9">
        <w:rPr>
          <w:rFonts w:ascii="Times New Roman" w:hAnsi="Times New Roman" w:cs="Times New Roman"/>
          <w:bCs/>
          <w:sz w:val="25"/>
          <w:szCs w:val="25"/>
        </w:rPr>
        <w:t xml:space="preserve">НРО ООО "Деловая Россия", </w:t>
      </w:r>
      <w:r w:rsidR="004F3820" w:rsidRPr="006630C9">
        <w:rPr>
          <w:rFonts w:ascii="Times New Roman" w:hAnsi="Times New Roman" w:cs="Times New Roman"/>
          <w:bCs/>
          <w:sz w:val="25"/>
          <w:szCs w:val="25"/>
        </w:rPr>
        <w:t>а так же</w:t>
      </w:r>
      <w:r w:rsidR="00415551" w:rsidRPr="006630C9">
        <w:rPr>
          <w:rFonts w:ascii="Times New Roman" w:hAnsi="Times New Roman" w:cs="Times New Roman"/>
          <w:bCs/>
          <w:sz w:val="25"/>
          <w:szCs w:val="25"/>
        </w:rPr>
        <w:t>:</w:t>
      </w:r>
      <w:r w:rsidR="004F3820" w:rsidRPr="006630C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15551" w:rsidRPr="006630C9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415551" w:rsidRPr="006630C9">
        <w:rPr>
          <w:rFonts w:ascii="Times New Roman" w:hAnsi="Times New Roman" w:cs="Times New Roman"/>
          <w:bCs/>
          <w:sz w:val="25"/>
          <w:szCs w:val="25"/>
        </w:rPr>
        <w:t>Абеленцевой</w:t>
      </w:r>
      <w:proofErr w:type="spellEnd"/>
      <w:r w:rsidR="00415551" w:rsidRPr="006630C9">
        <w:rPr>
          <w:rFonts w:ascii="Times New Roman" w:hAnsi="Times New Roman" w:cs="Times New Roman"/>
          <w:bCs/>
          <w:sz w:val="25"/>
          <w:szCs w:val="25"/>
        </w:rPr>
        <w:t xml:space="preserve"> О.А., </w:t>
      </w:r>
      <w:r w:rsidR="00BA1D4C" w:rsidRPr="006630C9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BA1D4C" w:rsidRPr="006630C9">
        <w:rPr>
          <w:rFonts w:ascii="Times New Roman" w:hAnsi="Times New Roman" w:cs="Times New Roman"/>
          <w:bCs/>
          <w:sz w:val="25"/>
          <w:szCs w:val="25"/>
        </w:rPr>
        <w:t>Вокуевой</w:t>
      </w:r>
      <w:proofErr w:type="spellEnd"/>
      <w:r w:rsidR="00BA1D4C" w:rsidRPr="006630C9">
        <w:rPr>
          <w:rFonts w:ascii="Times New Roman" w:hAnsi="Times New Roman" w:cs="Times New Roman"/>
          <w:bCs/>
          <w:sz w:val="25"/>
          <w:szCs w:val="25"/>
        </w:rPr>
        <w:t xml:space="preserve"> О.В., </w:t>
      </w:r>
      <w:r w:rsidR="00F93D49" w:rsidRPr="006630C9">
        <w:rPr>
          <w:rFonts w:ascii="Times New Roman" w:hAnsi="Times New Roman" w:cs="Times New Roman"/>
          <w:bCs/>
          <w:sz w:val="25"/>
          <w:szCs w:val="25"/>
        </w:rPr>
        <w:t xml:space="preserve">ИП </w:t>
      </w:r>
      <w:proofErr w:type="spellStart"/>
      <w:r w:rsidR="00F93D49" w:rsidRPr="006630C9">
        <w:rPr>
          <w:rFonts w:ascii="Times New Roman" w:hAnsi="Times New Roman" w:cs="Times New Roman"/>
          <w:bCs/>
          <w:sz w:val="25"/>
          <w:szCs w:val="25"/>
        </w:rPr>
        <w:t>Волоско</w:t>
      </w:r>
      <w:proofErr w:type="spellEnd"/>
      <w:r w:rsidR="00F93D49" w:rsidRPr="006630C9">
        <w:rPr>
          <w:rFonts w:ascii="Times New Roman" w:hAnsi="Times New Roman" w:cs="Times New Roman"/>
          <w:bCs/>
          <w:sz w:val="25"/>
          <w:szCs w:val="25"/>
        </w:rPr>
        <w:t xml:space="preserve"> Н.Д., ИП Копыловой М.А., ИП </w:t>
      </w:r>
      <w:proofErr w:type="spellStart"/>
      <w:r w:rsidR="00F93D49" w:rsidRPr="006630C9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F93D49" w:rsidRPr="006630C9">
        <w:rPr>
          <w:rFonts w:ascii="Times New Roman" w:hAnsi="Times New Roman" w:cs="Times New Roman"/>
          <w:bCs/>
          <w:sz w:val="25"/>
          <w:szCs w:val="25"/>
        </w:rPr>
        <w:t xml:space="preserve"> А.И., ИП </w:t>
      </w:r>
      <w:proofErr w:type="spellStart"/>
      <w:r w:rsidR="00F93D49" w:rsidRPr="006630C9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F93D49" w:rsidRPr="006630C9">
        <w:rPr>
          <w:rFonts w:ascii="Times New Roman" w:hAnsi="Times New Roman" w:cs="Times New Roman"/>
          <w:bCs/>
          <w:sz w:val="25"/>
          <w:szCs w:val="25"/>
        </w:rPr>
        <w:t xml:space="preserve"> И.Н., ИП Осичеву А.А., ИП Самойловой Н.С., </w:t>
      </w:r>
      <w:r w:rsidR="00415551" w:rsidRPr="006630C9">
        <w:rPr>
          <w:rFonts w:ascii="Times New Roman" w:hAnsi="Times New Roman" w:cs="Times New Roman"/>
          <w:bCs/>
          <w:sz w:val="25"/>
          <w:szCs w:val="25"/>
        </w:rPr>
        <w:t xml:space="preserve">ИП Степановой Н.Н., ИП Тарасовой Е.Н., ИП </w:t>
      </w:r>
      <w:proofErr w:type="spellStart"/>
      <w:r w:rsidR="00415551" w:rsidRPr="006630C9">
        <w:rPr>
          <w:rFonts w:ascii="Times New Roman" w:hAnsi="Times New Roman" w:cs="Times New Roman"/>
          <w:bCs/>
          <w:sz w:val="25"/>
          <w:szCs w:val="25"/>
        </w:rPr>
        <w:t>Шапову</w:t>
      </w:r>
      <w:proofErr w:type="spellEnd"/>
      <w:r w:rsidR="00415551" w:rsidRPr="006630C9">
        <w:rPr>
          <w:rFonts w:ascii="Times New Roman" w:hAnsi="Times New Roman" w:cs="Times New Roman"/>
          <w:bCs/>
          <w:sz w:val="25"/>
          <w:szCs w:val="25"/>
        </w:rPr>
        <w:t xml:space="preserve"> Н.А., ООО ПКК "ГРАСС".</w:t>
      </w:r>
    </w:p>
    <w:p w:rsidR="00E75793" w:rsidRPr="006630C9" w:rsidRDefault="00E61F9A" w:rsidP="007321C6">
      <w:pPr>
        <w:spacing w:before="0"/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>Результаты публичных консультаций и позиция регулирующего органа отражен</w:t>
      </w:r>
      <w:r w:rsidR="003D3BCA" w:rsidRPr="006630C9">
        <w:rPr>
          <w:rFonts w:ascii="Times New Roman" w:hAnsi="Times New Roman" w:cs="Times New Roman"/>
          <w:sz w:val="25"/>
          <w:szCs w:val="25"/>
        </w:rPr>
        <w:t>ы</w:t>
      </w:r>
      <w:r w:rsidRPr="006630C9">
        <w:rPr>
          <w:rFonts w:ascii="Times New Roman" w:hAnsi="Times New Roman" w:cs="Times New Roman"/>
          <w:sz w:val="25"/>
          <w:szCs w:val="25"/>
        </w:rPr>
        <w:t xml:space="preserve"> в таблице результатов публичных консультаций</w:t>
      </w:r>
      <w:r w:rsidR="000C1FE5" w:rsidRPr="006630C9">
        <w:rPr>
          <w:rFonts w:ascii="Times New Roman" w:hAnsi="Times New Roman" w:cs="Times New Roman"/>
          <w:sz w:val="25"/>
          <w:szCs w:val="25"/>
        </w:rPr>
        <w:t>:</w:t>
      </w: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2127"/>
        <w:gridCol w:w="3402"/>
        <w:gridCol w:w="3827"/>
      </w:tblGrid>
      <w:tr w:rsidR="0006643C" w:rsidRPr="006630C9" w:rsidTr="005B688E">
        <w:trPr>
          <w:trHeight w:val="824"/>
        </w:trPr>
        <w:tc>
          <w:tcPr>
            <w:tcW w:w="567" w:type="dxa"/>
            <w:vAlign w:val="center"/>
          </w:tcPr>
          <w:p w:rsidR="0006643C" w:rsidRPr="006630C9" w:rsidRDefault="0006643C" w:rsidP="00141B67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643C" w:rsidRPr="006630C9" w:rsidRDefault="0006643C" w:rsidP="0006643C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6630C9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Высказанное мнение</w:t>
            </w:r>
          </w:p>
          <w:p w:rsidR="0006643C" w:rsidRPr="006630C9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(замечание и/или предложение</w:t>
            </w:r>
            <w:r w:rsidR="00E75793" w:rsidRPr="006630C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827" w:type="dxa"/>
            <w:vAlign w:val="center"/>
          </w:tcPr>
          <w:p w:rsidR="0006643C" w:rsidRPr="006630C9" w:rsidRDefault="0006643C" w:rsidP="0006643C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Позиция</w:t>
            </w:r>
            <w:r w:rsidR="0069536D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регулирующего органа</w:t>
            </w:r>
          </w:p>
          <w:p w:rsidR="0006643C" w:rsidRPr="006630C9" w:rsidRDefault="0006643C" w:rsidP="0006643C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(с обоснованием позиции)</w:t>
            </w:r>
          </w:p>
        </w:tc>
      </w:tr>
      <w:tr w:rsidR="00414884" w:rsidRPr="006630C9" w:rsidTr="005B688E">
        <w:trPr>
          <w:trHeight w:val="888"/>
        </w:trPr>
        <w:tc>
          <w:tcPr>
            <w:tcW w:w="567" w:type="dxa"/>
            <w:vMerge w:val="restart"/>
          </w:tcPr>
          <w:p w:rsidR="00414884" w:rsidRPr="006630C9" w:rsidRDefault="008C1AD3" w:rsidP="00311930">
            <w:pPr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27" w:type="dxa"/>
            <w:vMerge w:val="restart"/>
          </w:tcPr>
          <w:p w:rsidR="00414884" w:rsidRPr="006630C9" w:rsidRDefault="00414884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АО "Центр развития бизнеса</w:t>
            </w:r>
            <w:r w:rsidR="00D41054">
              <w:rPr>
                <w:rFonts w:ascii="Times New Roman" w:hAnsi="Times New Roman" w:cs="Times New Roman"/>
                <w:sz w:val="25"/>
                <w:szCs w:val="25"/>
              </w:rPr>
              <w:t xml:space="preserve"> Ненецкого автономного округа</w:t>
            </w: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"</w:t>
            </w:r>
          </w:p>
        </w:tc>
        <w:tc>
          <w:tcPr>
            <w:tcW w:w="3402" w:type="dxa"/>
          </w:tcPr>
          <w:p w:rsidR="00414884" w:rsidRPr="006630C9" w:rsidRDefault="00414884" w:rsidP="00141B67">
            <w:pPr>
              <w:pStyle w:val="a4"/>
              <w:numPr>
                <w:ilvl w:val="0"/>
                <w:numId w:val="22"/>
              </w:numPr>
              <w:tabs>
                <w:tab w:val="left" w:pos="33"/>
                <w:tab w:val="left" w:pos="227"/>
              </w:tabs>
              <w:ind w:left="33" w:right="-1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в части предоставления субсидий на приобретение и доставку имущества, аренду нежилых зданий, помещений, на подготовку, переподготовку и повышение квалификации кадров дополнить категорией субъектов малого </w:t>
            </w:r>
            <w:r w:rsidRPr="006630C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среднего предпринимательства, осуществляющих деятельность по основному виду деятельности ОКВЭД, входящему в группировку 88 "Предоставление социальных услуг без обеспечения проживания"</w:t>
            </w:r>
          </w:p>
        </w:tc>
        <w:tc>
          <w:tcPr>
            <w:tcW w:w="3827" w:type="dxa"/>
          </w:tcPr>
          <w:p w:rsidR="00414884" w:rsidRPr="000555AF" w:rsidRDefault="00CA4276" w:rsidP="00CA4276">
            <w:pPr>
              <w:pStyle w:val="ConsPlusNormal"/>
              <w:numPr>
                <w:ilvl w:val="0"/>
                <w:numId w:val="24"/>
              </w:numPr>
              <w:tabs>
                <w:tab w:val="left" w:pos="306"/>
              </w:tabs>
              <w:ind w:left="33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Предложение будет учтено</w:t>
            </w:r>
          </w:p>
        </w:tc>
      </w:tr>
      <w:tr w:rsidR="00414884" w:rsidRPr="006630C9" w:rsidTr="005B688E">
        <w:trPr>
          <w:trHeight w:val="888"/>
        </w:trPr>
        <w:tc>
          <w:tcPr>
            <w:tcW w:w="567" w:type="dxa"/>
            <w:vMerge/>
          </w:tcPr>
          <w:p w:rsidR="00414884" w:rsidRPr="006630C9" w:rsidRDefault="00414884" w:rsidP="00311930">
            <w:pPr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:rsidR="00414884" w:rsidRPr="006630C9" w:rsidRDefault="00414884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14884" w:rsidRPr="006630C9" w:rsidRDefault="00414884" w:rsidP="00141B67">
            <w:pPr>
              <w:pStyle w:val="a4"/>
              <w:numPr>
                <w:ilvl w:val="0"/>
                <w:numId w:val="22"/>
              </w:numPr>
              <w:tabs>
                <w:tab w:val="left" w:pos="33"/>
                <w:tab w:val="left" w:pos="227"/>
              </w:tabs>
              <w:ind w:left="33" w:right="-1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При определении размера субсидии в критерии оценки заявок заявителей на получение субсидии (К</w:t>
            </w:r>
            <w:proofErr w:type="gramStart"/>
            <w:r w:rsidRPr="006630C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proofErr w:type="gramEnd"/>
            <w:r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) для вида деятельности по основному ОКВЭД, входящему </w:t>
            </w:r>
            <w:r w:rsidR="009F4757" w:rsidRPr="006630C9">
              <w:rPr>
                <w:rFonts w:ascii="Times New Roman" w:hAnsi="Times New Roman" w:cs="Times New Roman"/>
                <w:sz w:val="25"/>
                <w:szCs w:val="25"/>
              </w:rPr>
              <w:t>в группировку 88 "Предоставление социальных услуг без обеспечения проживания"</w:t>
            </w:r>
            <w:r w:rsidR="002A1B11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, предлагаем установить повышенный балл. </w:t>
            </w:r>
            <w:proofErr w:type="gramStart"/>
            <w:r w:rsidR="002A1B11" w:rsidRPr="006630C9">
              <w:rPr>
                <w:rFonts w:ascii="Times New Roman" w:hAnsi="Times New Roman" w:cs="Times New Roman"/>
                <w:sz w:val="25"/>
                <w:szCs w:val="25"/>
              </w:rPr>
              <w:t>Указанное</w:t>
            </w:r>
            <w:proofErr w:type="gramEnd"/>
            <w:r w:rsidR="002A1B11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2127" w:rsidRPr="006630C9">
              <w:rPr>
                <w:rFonts w:ascii="Times New Roman" w:hAnsi="Times New Roman" w:cs="Times New Roman"/>
                <w:sz w:val="25"/>
                <w:szCs w:val="25"/>
              </w:rPr>
              <w:t>позволит сделать услуги социально-направленных предпринимателей более доступными для потребителей.</w:t>
            </w:r>
            <w:r w:rsidR="003D0864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 На данный момент рынок социальных услуг г. Нарьян-Мара представлен пятью </w:t>
            </w:r>
            <w:proofErr w:type="spellStart"/>
            <w:r w:rsidR="003D0864" w:rsidRPr="006630C9">
              <w:rPr>
                <w:rFonts w:ascii="Times New Roman" w:hAnsi="Times New Roman" w:cs="Times New Roman"/>
                <w:sz w:val="25"/>
                <w:szCs w:val="25"/>
              </w:rPr>
              <w:t>СМиСП</w:t>
            </w:r>
            <w:proofErr w:type="spellEnd"/>
            <w:r w:rsidR="003D0864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, осуществляющими деятельность по ОКВЭД, </w:t>
            </w:r>
            <w:proofErr w:type="gramStart"/>
            <w:r w:rsidR="003D0864" w:rsidRPr="006630C9">
              <w:rPr>
                <w:rFonts w:ascii="Times New Roman" w:hAnsi="Times New Roman" w:cs="Times New Roman"/>
                <w:sz w:val="25"/>
                <w:szCs w:val="25"/>
              </w:rPr>
              <w:t>предлагаемому</w:t>
            </w:r>
            <w:proofErr w:type="gramEnd"/>
            <w:r w:rsidR="003D0864" w:rsidRPr="006630C9">
              <w:rPr>
                <w:rFonts w:ascii="Times New Roman" w:hAnsi="Times New Roman" w:cs="Times New Roman"/>
                <w:sz w:val="25"/>
                <w:szCs w:val="25"/>
              </w:rPr>
              <w:t xml:space="preserve"> для дополнения условий проекта постановления</w:t>
            </w:r>
          </w:p>
        </w:tc>
        <w:tc>
          <w:tcPr>
            <w:tcW w:w="3827" w:type="dxa"/>
          </w:tcPr>
          <w:p w:rsidR="00414884" w:rsidRPr="006630C9" w:rsidRDefault="00CA4276" w:rsidP="00CA4276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3" w:right="-1"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Предложение будет учтено</w:t>
            </w:r>
          </w:p>
        </w:tc>
      </w:tr>
      <w:tr w:rsidR="005B688E" w:rsidRPr="006630C9" w:rsidTr="005B688E">
        <w:trPr>
          <w:trHeight w:val="888"/>
        </w:trPr>
        <w:tc>
          <w:tcPr>
            <w:tcW w:w="567" w:type="dxa"/>
          </w:tcPr>
          <w:p w:rsidR="005B688E" w:rsidRPr="006630C9" w:rsidRDefault="005B688E" w:rsidP="00311930">
            <w:pPr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27" w:type="dxa"/>
          </w:tcPr>
          <w:p w:rsidR="005B688E" w:rsidRPr="006630C9" w:rsidRDefault="005B688E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ИП Белоусова Ю.С.</w:t>
            </w:r>
          </w:p>
        </w:tc>
        <w:tc>
          <w:tcPr>
            <w:tcW w:w="3402" w:type="dxa"/>
          </w:tcPr>
          <w:p w:rsidR="005B688E" w:rsidRPr="006630C9" w:rsidRDefault="0024539E" w:rsidP="005B688E">
            <w:pPr>
              <w:pStyle w:val="a4"/>
              <w:tabs>
                <w:tab w:val="left" w:pos="33"/>
                <w:tab w:val="left" w:pos="227"/>
              </w:tabs>
              <w:ind w:left="33" w:right="-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Внести поправки в порядок предоставления субсидий на обучение до 300 000,00 руб. для предпринимателей, открывающих инновационные проекты в нашем городе</w:t>
            </w:r>
          </w:p>
        </w:tc>
        <w:tc>
          <w:tcPr>
            <w:tcW w:w="3827" w:type="dxa"/>
          </w:tcPr>
          <w:p w:rsidR="005B688E" w:rsidRPr="006630C9" w:rsidRDefault="00D84116" w:rsidP="00155C75">
            <w:pPr>
              <w:pStyle w:val="a4"/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Предложение будет рассмотрено</w:t>
            </w:r>
          </w:p>
        </w:tc>
      </w:tr>
    </w:tbl>
    <w:p w:rsidR="008E6C75" w:rsidRPr="006630C9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8E6C75" w:rsidRPr="006630C9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C9" w:rsidRDefault="006630C9" w:rsidP="00851281">
      <w:pPr>
        <w:spacing w:before="0"/>
      </w:pPr>
      <w:r>
        <w:separator/>
      </w:r>
    </w:p>
  </w:endnote>
  <w:endnote w:type="continuationSeparator" w:id="0">
    <w:p w:rsidR="006630C9" w:rsidRDefault="006630C9" w:rsidP="008512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C9" w:rsidRDefault="006630C9" w:rsidP="00851281">
      <w:pPr>
        <w:spacing w:before="0"/>
      </w:pPr>
      <w:r>
        <w:separator/>
      </w:r>
    </w:p>
  </w:footnote>
  <w:footnote w:type="continuationSeparator" w:id="0">
    <w:p w:rsidR="006630C9" w:rsidRDefault="006630C9" w:rsidP="008512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48"/>
      <w:docPartObj>
        <w:docPartGallery w:val="Page Numbers (Top of Page)"/>
        <w:docPartUnique/>
      </w:docPartObj>
    </w:sdtPr>
    <w:sdtContent>
      <w:p w:rsidR="006630C9" w:rsidRDefault="00A86A4B">
        <w:pPr>
          <w:pStyle w:val="a7"/>
        </w:pPr>
        <w:fldSimple w:instr=" PAGE   \* MERGEFORMAT ">
          <w:r w:rsidR="00D84116">
            <w:rPr>
              <w:noProof/>
            </w:rPr>
            <w:t>2</w:t>
          </w:r>
        </w:fldSimple>
      </w:p>
    </w:sdtContent>
  </w:sdt>
  <w:p w:rsidR="006630C9" w:rsidRDefault="006630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C00"/>
    <w:multiLevelType w:val="hybridMultilevel"/>
    <w:tmpl w:val="3BBC0E82"/>
    <w:lvl w:ilvl="0" w:tplc="78D055C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556F"/>
    <w:multiLevelType w:val="hybridMultilevel"/>
    <w:tmpl w:val="AFCA5158"/>
    <w:lvl w:ilvl="0" w:tplc="8DDCC462">
      <w:start w:val="2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7CD3451"/>
    <w:multiLevelType w:val="hybridMultilevel"/>
    <w:tmpl w:val="A57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0">
    <w:nsid w:val="5E582B2C"/>
    <w:multiLevelType w:val="hybridMultilevel"/>
    <w:tmpl w:val="A62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2">
    <w:nsid w:val="664D6BE0"/>
    <w:multiLevelType w:val="hybridMultilevel"/>
    <w:tmpl w:val="81007FE6"/>
    <w:lvl w:ilvl="0" w:tplc="59081D34">
      <w:start w:val="1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2"/>
  </w:num>
  <w:num w:numId="12">
    <w:abstractNumId w:val="19"/>
  </w:num>
  <w:num w:numId="13">
    <w:abstractNumId w:val="21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8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7"/>
  </w:num>
  <w:num w:numId="24">
    <w:abstractNumId w:val="20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20D0E"/>
    <w:rsid w:val="0002443F"/>
    <w:rsid w:val="000279C2"/>
    <w:rsid w:val="00031DA0"/>
    <w:rsid w:val="000370F5"/>
    <w:rsid w:val="000376BE"/>
    <w:rsid w:val="00042B38"/>
    <w:rsid w:val="00044711"/>
    <w:rsid w:val="00052AF0"/>
    <w:rsid w:val="000555AF"/>
    <w:rsid w:val="000612E6"/>
    <w:rsid w:val="000615CD"/>
    <w:rsid w:val="0006643C"/>
    <w:rsid w:val="00080571"/>
    <w:rsid w:val="00081F5B"/>
    <w:rsid w:val="000A2F52"/>
    <w:rsid w:val="000B1075"/>
    <w:rsid w:val="000B2444"/>
    <w:rsid w:val="000B6412"/>
    <w:rsid w:val="000C1FE5"/>
    <w:rsid w:val="000C6F9F"/>
    <w:rsid w:val="000E306C"/>
    <w:rsid w:val="000E6002"/>
    <w:rsid w:val="000F1DA9"/>
    <w:rsid w:val="00116BB7"/>
    <w:rsid w:val="00125733"/>
    <w:rsid w:val="0012695A"/>
    <w:rsid w:val="00127217"/>
    <w:rsid w:val="00141B67"/>
    <w:rsid w:val="00144AA7"/>
    <w:rsid w:val="0014640C"/>
    <w:rsid w:val="00147054"/>
    <w:rsid w:val="00155C75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23C6E"/>
    <w:rsid w:val="0024539E"/>
    <w:rsid w:val="002516CB"/>
    <w:rsid w:val="00263087"/>
    <w:rsid w:val="002A1B11"/>
    <w:rsid w:val="002A5CBE"/>
    <w:rsid w:val="002B09A5"/>
    <w:rsid w:val="002C1E00"/>
    <w:rsid w:val="002C7CF5"/>
    <w:rsid w:val="002D265D"/>
    <w:rsid w:val="002D771D"/>
    <w:rsid w:val="002D7EDD"/>
    <w:rsid w:val="002E006D"/>
    <w:rsid w:val="002E1133"/>
    <w:rsid w:val="002E2FBE"/>
    <w:rsid w:val="002E3F20"/>
    <w:rsid w:val="002F5E3F"/>
    <w:rsid w:val="003025D9"/>
    <w:rsid w:val="00311633"/>
    <w:rsid w:val="00311930"/>
    <w:rsid w:val="003279A6"/>
    <w:rsid w:val="00331909"/>
    <w:rsid w:val="0034427B"/>
    <w:rsid w:val="00344D5E"/>
    <w:rsid w:val="00364A25"/>
    <w:rsid w:val="00366F8D"/>
    <w:rsid w:val="003844CE"/>
    <w:rsid w:val="003A28F4"/>
    <w:rsid w:val="003A6B92"/>
    <w:rsid w:val="003C6C00"/>
    <w:rsid w:val="003C785D"/>
    <w:rsid w:val="003D0864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4884"/>
    <w:rsid w:val="00415551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2706A"/>
    <w:rsid w:val="0053479C"/>
    <w:rsid w:val="00536ABF"/>
    <w:rsid w:val="00543478"/>
    <w:rsid w:val="0054361C"/>
    <w:rsid w:val="0055799A"/>
    <w:rsid w:val="0058562D"/>
    <w:rsid w:val="005A4198"/>
    <w:rsid w:val="005A59F2"/>
    <w:rsid w:val="005B577B"/>
    <w:rsid w:val="005B688E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57443"/>
    <w:rsid w:val="006627CC"/>
    <w:rsid w:val="006630C9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21C6"/>
    <w:rsid w:val="0073338F"/>
    <w:rsid w:val="00744E05"/>
    <w:rsid w:val="00750CD7"/>
    <w:rsid w:val="007637D5"/>
    <w:rsid w:val="00774A20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C1AD3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F4757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7183B"/>
    <w:rsid w:val="00A748E0"/>
    <w:rsid w:val="00A75453"/>
    <w:rsid w:val="00A86A4B"/>
    <w:rsid w:val="00A97853"/>
    <w:rsid w:val="00AA59E2"/>
    <w:rsid w:val="00AC3EF9"/>
    <w:rsid w:val="00AD35AA"/>
    <w:rsid w:val="00B05A1C"/>
    <w:rsid w:val="00B32C04"/>
    <w:rsid w:val="00B33EDC"/>
    <w:rsid w:val="00B41D89"/>
    <w:rsid w:val="00B5414F"/>
    <w:rsid w:val="00B72020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2127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A4276"/>
    <w:rsid w:val="00CA689C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2B3B"/>
    <w:rsid w:val="00D23BE1"/>
    <w:rsid w:val="00D27FE1"/>
    <w:rsid w:val="00D41054"/>
    <w:rsid w:val="00D4133D"/>
    <w:rsid w:val="00D47CBB"/>
    <w:rsid w:val="00D53D25"/>
    <w:rsid w:val="00D71D66"/>
    <w:rsid w:val="00D77419"/>
    <w:rsid w:val="00D832C0"/>
    <w:rsid w:val="00D84116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27C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93D49"/>
    <w:rsid w:val="00F94611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F436-14DB-49C4-B311-EA9995B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193</cp:revision>
  <cp:lastPrinted>2019-09-23T09:14:00Z</cp:lastPrinted>
  <dcterms:created xsi:type="dcterms:W3CDTF">2017-05-24T09:22:00Z</dcterms:created>
  <dcterms:modified xsi:type="dcterms:W3CDTF">2020-02-20T11:43:00Z</dcterms:modified>
</cp:coreProperties>
</file>