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AE" w:rsidRDefault="00B101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01AE" w:rsidRDefault="00B101AE">
      <w:pPr>
        <w:pStyle w:val="ConsPlusNormal"/>
        <w:jc w:val="both"/>
        <w:outlineLvl w:val="0"/>
      </w:pPr>
    </w:p>
    <w:p w:rsidR="00B101AE" w:rsidRDefault="00B101AE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B101AE" w:rsidRDefault="00B101AE">
      <w:pPr>
        <w:pStyle w:val="ConsPlusTitle"/>
        <w:jc w:val="center"/>
      </w:pPr>
      <w:r>
        <w:t>24-я сессия IV созыва</w:t>
      </w:r>
    </w:p>
    <w:p w:rsidR="00B101AE" w:rsidRDefault="00B101AE">
      <w:pPr>
        <w:pStyle w:val="ConsPlusTitle"/>
        <w:jc w:val="both"/>
      </w:pPr>
    </w:p>
    <w:p w:rsidR="00B101AE" w:rsidRDefault="00B101AE">
      <w:pPr>
        <w:pStyle w:val="ConsPlusTitle"/>
        <w:jc w:val="center"/>
      </w:pPr>
      <w:r>
        <w:t>РЕШЕНИЕ</w:t>
      </w:r>
    </w:p>
    <w:p w:rsidR="00B101AE" w:rsidRDefault="00B101AE">
      <w:pPr>
        <w:pStyle w:val="ConsPlusTitle"/>
        <w:jc w:val="center"/>
      </w:pPr>
      <w:r>
        <w:t>от 29 апреля 2021 г. N 199-р</w:t>
      </w:r>
    </w:p>
    <w:p w:rsidR="00B101AE" w:rsidRDefault="00B101AE">
      <w:pPr>
        <w:pStyle w:val="ConsPlusTitle"/>
        <w:jc w:val="both"/>
      </w:pPr>
    </w:p>
    <w:p w:rsidR="00B101AE" w:rsidRDefault="00B101AE">
      <w:pPr>
        <w:pStyle w:val="ConsPlusTitle"/>
        <w:jc w:val="center"/>
      </w:pPr>
      <w:r>
        <w:t>ОБ УТВЕРЖДЕНИИ ПОЛОЖЕНИЯ "О ПОРЯДКЕ ОПРЕДЕЛЕНИЯ РАЗМЕРА</w:t>
      </w:r>
    </w:p>
    <w:p w:rsidR="00B101AE" w:rsidRDefault="00B101AE">
      <w:pPr>
        <w:pStyle w:val="ConsPlusTitle"/>
        <w:jc w:val="center"/>
      </w:pPr>
      <w:r>
        <w:t>АРЕНДНОЙ ПЛАТЫ ЗА ЗЕМЕЛЬНЫЕ УЧАСТКИ, НАХОДЯЩИЕСЯ</w:t>
      </w:r>
    </w:p>
    <w:p w:rsidR="00B101AE" w:rsidRDefault="00B101AE">
      <w:pPr>
        <w:pStyle w:val="ConsPlusTitle"/>
        <w:jc w:val="center"/>
      </w:pPr>
      <w:r>
        <w:t>В СОБСТВЕННОСТИ МУНИЦИПАЛЬНОГО ОБРАЗОВАНИЯ</w:t>
      </w:r>
    </w:p>
    <w:p w:rsidR="00B101AE" w:rsidRDefault="00B101AE">
      <w:pPr>
        <w:pStyle w:val="ConsPlusTitle"/>
        <w:jc w:val="center"/>
      </w:pPr>
      <w:r>
        <w:t>"ГОРОДСКОЙ ОКРУГ "ГОРОД НАРЬЯН-МАР"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 за земли, находящиеся в собственности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 (приложение).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24.04.2008 N 320-р "Об утверждении Положения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right"/>
      </w:pPr>
      <w:r>
        <w:t>Глава городского округа</w:t>
      </w:r>
    </w:p>
    <w:p w:rsidR="00B101AE" w:rsidRDefault="00B101AE">
      <w:pPr>
        <w:pStyle w:val="ConsPlusNormal"/>
        <w:jc w:val="right"/>
      </w:pPr>
      <w:r>
        <w:t>"Город Нарьян-Мар"</w:t>
      </w:r>
    </w:p>
    <w:p w:rsidR="00B101AE" w:rsidRDefault="00B101AE">
      <w:pPr>
        <w:pStyle w:val="ConsPlusNormal"/>
        <w:jc w:val="right"/>
      </w:pPr>
      <w:r>
        <w:t>О.О.БЕЛАК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right"/>
      </w:pPr>
      <w:r>
        <w:t>Председатель</w:t>
      </w:r>
    </w:p>
    <w:p w:rsidR="00B101AE" w:rsidRDefault="00B101AE">
      <w:pPr>
        <w:pStyle w:val="ConsPlusNormal"/>
        <w:jc w:val="right"/>
      </w:pPr>
      <w:r>
        <w:t>Совета городского округа</w:t>
      </w:r>
    </w:p>
    <w:p w:rsidR="00B101AE" w:rsidRDefault="00B101AE">
      <w:pPr>
        <w:pStyle w:val="ConsPlusNormal"/>
        <w:jc w:val="right"/>
      </w:pPr>
      <w:r>
        <w:t>"Город Нарьян-Мар"</w:t>
      </w:r>
    </w:p>
    <w:p w:rsidR="00B101AE" w:rsidRDefault="00B101AE">
      <w:pPr>
        <w:pStyle w:val="ConsPlusNormal"/>
        <w:jc w:val="right"/>
      </w:pPr>
      <w:r>
        <w:t>Ю.И.СУСЬКИЙ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right"/>
        <w:outlineLvl w:val="0"/>
      </w:pPr>
      <w:r>
        <w:t>УТВЕРЖДЕНО</w:t>
      </w:r>
    </w:p>
    <w:p w:rsidR="00B101AE" w:rsidRDefault="00B101AE">
      <w:pPr>
        <w:pStyle w:val="ConsPlusNormal"/>
        <w:jc w:val="right"/>
      </w:pPr>
      <w:r>
        <w:t>решением Совета городского округа</w:t>
      </w:r>
    </w:p>
    <w:p w:rsidR="00B101AE" w:rsidRDefault="00B101AE">
      <w:pPr>
        <w:pStyle w:val="ConsPlusNormal"/>
        <w:jc w:val="right"/>
      </w:pPr>
      <w:r>
        <w:t>"Город Нарьян-Мар"</w:t>
      </w:r>
    </w:p>
    <w:p w:rsidR="00B101AE" w:rsidRDefault="00B101AE">
      <w:pPr>
        <w:pStyle w:val="ConsPlusNormal"/>
        <w:jc w:val="right"/>
      </w:pPr>
      <w:r>
        <w:t>от 29.04.2021 N 199-р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Title"/>
        <w:jc w:val="center"/>
      </w:pPr>
      <w:bookmarkStart w:id="0" w:name="P35"/>
      <w:bookmarkEnd w:id="0"/>
      <w:r>
        <w:t>ПОЛОЖЕНИЕ</w:t>
      </w:r>
    </w:p>
    <w:p w:rsidR="00B101AE" w:rsidRDefault="00B101AE">
      <w:pPr>
        <w:pStyle w:val="ConsPlusTitle"/>
        <w:jc w:val="center"/>
      </w:pPr>
      <w:r>
        <w:t>"О ПОРЯДКЕ ОПРЕДЕЛЕНИЯ РАЗМЕРА АРЕНДНОЙ ПЛАТЫ ЗА ЗЕМЕЛЬНЫЕ</w:t>
      </w:r>
    </w:p>
    <w:p w:rsidR="00B101AE" w:rsidRDefault="00B101AE">
      <w:pPr>
        <w:pStyle w:val="ConsPlusTitle"/>
        <w:jc w:val="center"/>
      </w:pPr>
      <w:r>
        <w:t>УЧАСТКИ, НАХОДЯЩИЕСЯ В СОБСТВЕННОСТИ МУНИЦИПАЛЬНОГО</w:t>
      </w:r>
    </w:p>
    <w:p w:rsidR="00B101AE" w:rsidRDefault="00B101AE">
      <w:pPr>
        <w:pStyle w:val="ConsPlusTitle"/>
        <w:jc w:val="center"/>
      </w:pPr>
      <w:r>
        <w:t>ОБРАЗОВАНИЯ "ГОРОДСКОЙ ОКРУГ "ГОРОД НАРЬЯН-МАР"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ind w:firstLine="540"/>
        <w:jc w:val="both"/>
      </w:pPr>
      <w:r>
        <w:t>1. Настоящее Положение устанавливает порядок определения размера арендной платы за земельные участки, находящиеся в собственности муниципального образования "Городской округ "Город Нарьян-Мар" и предоставленные в аренду без торгов (далее - земельные участки).</w:t>
      </w:r>
    </w:p>
    <w:p w:rsidR="00B101AE" w:rsidRDefault="00B101AE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2. Размер арендной платы при аренде земельных участков в расчете на год (далее - арендная плата) устанавливается в договоре аренды и определяется на основании кадастровой стоимости </w:t>
      </w:r>
      <w:r>
        <w:lastRenderedPageBreak/>
        <w:t>земельных участков и рассчитывается в размере: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2.1. 0,01 процента от кадастровой стоимости в отношении: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арендная плата из расчета 0,01% от кадастровой стоимости земельного участка устанавливается в отношении арендной платы, равной размеру такого вычета;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предоставленного (занятого)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2.2. 0,3 процента от кадастровой стоимости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2.3. 0,5 процента от кадастровой стоимости в отношении земельного участка, предоставленного (занятого) для размещения объектов спорта.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2.4. 0,6 процента от кадастровой стоимости в отношении: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предназначенного для ведения сельскохозяйственного производства.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2.5. 0,7 процента от кадастровой стоимости в отношении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2.6. 1 процент от кадастровой стоимости в отношении: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земельных участков, предоставленных (занятых) для размещения производственных зданий, строений, сооружений промышленности, коммунального хозяйства, материально-технического снабжения, сбыта и заготовок, предприятий бытового обслуживания, автотранспортных предприятий;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земельных участков, предоставленных (занятых) для индивидуальных гаражей (лодочных стоянок), стоянок легкового автотранспорта.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2.7. 1,5 процента от кадастровой стоимости в отношении: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земельного участка, ограниченного в обороте и не относящегося к категории земель сельскохозяйственного назначения, право аренды на который переоформлено в соответствии с земельным законодательством Российской Федерации;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lastRenderedPageBreak/>
        <w:t xml:space="preserve">- земельного участка, не относящегося к перечисленным в </w:t>
      </w:r>
      <w:hyperlink r:id="rId10">
        <w:r>
          <w:rPr>
            <w:color w:val="0000FF"/>
          </w:rPr>
          <w:t>пункте 1 части 1 статьи 394</w:t>
        </w:r>
      </w:hyperlink>
      <w:r>
        <w:t xml:space="preserve"> Налогового кодекса Российской Федерации категориям земель, в случае заключения договора аренды в соответствии с </w:t>
      </w:r>
      <w:hyperlink r:id="rId1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 (но не выше размера земельного налога, рассчитанного в отношении такого земельного участка);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земельных участков, предоставленных (занятых) под размещение объектов торговли;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земельных участков, предоставленных (занятых) под административные здания (офисы).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2.8. 2 процента от кадастровой стоимости в отношении земельных участков, предоставленных (занятых) для размещения объектов, утилизирующих твердые бытовые отходы методом сжигания.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2.9. 3,5 процента от кадастровой стоимости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При этом, в случае если арендатор указанного земельного участка выполнил обязательство по рекультивации земельного участка, предоставленного ему для аналогичных целей, арендная плата рассчитывается в следующем порядке: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за площадь земельного участка, не превышающую площадь предоставленного земельного участка, обязательство по рекультивации которого выполнено, - 2 процента от кадастровой стоимости земельного участка;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- за площадь земельного участка, превышающую площадь предоставленного земельного участка, обязательство по рекультивации которого выполнено, - 3,5 процента от кадастровой стоимости земельного участка.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 xml:space="preserve">3. В отношении земельного участка, предоставленного для целей, не указанных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Положения, размер арендной платы определяется из расчета 2 процента от кадастровой стоимости соответствующего земельного участка.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4. В отношении земельного участка с более чем одним видом разрешенного использования арендная плата определяется по одному из видов разрешенного использования (целей предоставления), в отношении которого арендная плата имеет наибольший размер.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5.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B101AE" w:rsidRDefault="00B101AE">
      <w:pPr>
        <w:pStyle w:val="ConsPlusNormal"/>
        <w:spacing w:before="200"/>
        <w:ind w:firstLine="540"/>
        <w:jc w:val="both"/>
      </w:pPr>
      <w:bookmarkStart w:id="2" w:name="P71"/>
      <w:bookmarkEnd w:id="2"/>
      <w:r>
        <w:t>6. При заключении договора аренды земельного участка в нем предусматриваются случаи и периодичность изменения арендной платы за пользование земельным участком.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1 января года, следующего за годом, в котором заключен указанный договор аренды.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 xml:space="preserve">7.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71">
        <w:r>
          <w:rPr>
            <w:color w:val="0000FF"/>
          </w:rPr>
          <w:t>пункте 6</w:t>
        </w:r>
      </w:hyperlink>
      <w:r>
        <w:t xml:space="preserve"> настоящего Положения, не проводится.</w:t>
      </w:r>
    </w:p>
    <w:p w:rsidR="00B101AE" w:rsidRDefault="00B101AE">
      <w:pPr>
        <w:pStyle w:val="ConsPlusNormal"/>
        <w:spacing w:before="200"/>
        <w:ind w:firstLine="540"/>
        <w:jc w:val="both"/>
      </w:pPr>
      <w:r>
        <w:t>8.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jc w:val="both"/>
      </w:pPr>
    </w:p>
    <w:p w:rsidR="00B101AE" w:rsidRDefault="00B101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3" w:name="_GoBack"/>
      <w:bookmarkEnd w:id="3"/>
    </w:p>
    <w:sectPr w:rsidR="00F25CB7" w:rsidSect="0064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AE"/>
    <w:rsid w:val="00010ACC"/>
    <w:rsid w:val="000C4865"/>
    <w:rsid w:val="00550A54"/>
    <w:rsid w:val="00871EF1"/>
    <w:rsid w:val="00B101AE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426D-D845-4E42-9846-147A7E9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1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01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01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E65E6D233238B6C128024F79B6BD8C6440388E27316D6831BE85DB2CF929172CE88E968830D6447EF72F6A5C37B3yEI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4DE65E6D233238B6C1360F5915E1B18B6F1B3D82223232326EE5D88C25F37E5063B1DED2DD3DD7476BA27E300B3AB1ED42E4E523BA436CyDI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DE65E6D233238B6C1360F5915E1B18B6F1B3D88243232326EE5D88C25F37E4263E9D2D2DB23D7427EF42F76y5ICL" TargetMode="External"/><Relationship Id="rId11" Type="http://schemas.openxmlformats.org/officeDocument/2006/relationships/hyperlink" Target="consultantplus://offline/ref=CD4DE65E6D233238B6C1360F5915E1B18B6D1C378E223232326EE5D88C25F37E5063B1DAD0DC36821324A322745829B0EB42E7E53FyBIAL" TargetMode="External"/><Relationship Id="rId5" Type="http://schemas.openxmlformats.org/officeDocument/2006/relationships/hyperlink" Target="consultantplus://offline/ref=CD4DE65E6D233238B6C1360F5915E1B18B6D1C378E223232326EE5D88C25F37E5063B1DED2DD38D0406BA27E300B3AB1ED42E4E523BA436CyDI1L" TargetMode="External"/><Relationship Id="rId10" Type="http://schemas.openxmlformats.org/officeDocument/2006/relationships/hyperlink" Target="consultantplus://offline/ref=CD4DE65E6D233238B6C1360F5915E1B18B6D1C3188203232326EE5D88C25F37E5063B1DED1D43EDD1631B27A795E31AFEA5CFBE73DBAy4I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4DE65E6D233238B6C128024F79B6BD8C6440388D233963656CB48D8220FB2E1873ED9B87D03DD05C61F631765E35yB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2022-10-06T11:08:00Z</dcterms:created>
  <dcterms:modified xsi:type="dcterms:W3CDTF">2022-10-06T11:10:00Z</dcterms:modified>
</cp:coreProperties>
</file>