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09" w:rsidRPr="00E97CFF" w:rsidRDefault="000B7F09" w:rsidP="000B7F09">
      <w:pPr>
        <w:rPr>
          <w:sz w:val="25"/>
          <w:szCs w:val="25"/>
        </w:rPr>
      </w:pPr>
    </w:p>
    <w:p w:rsidR="00693A56" w:rsidRPr="00E97CFF" w:rsidRDefault="009E15A3" w:rsidP="00CA2D0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97CFF">
        <w:rPr>
          <w:b/>
          <w:sz w:val="26"/>
          <w:szCs w:val="26"/>
        </w:rPr>
        <w:t>Заключение</w:t>
      </w:r>
    </w:p>
    <w:p w:rsidR="00652458" w:rsidRPr="00E97CFF" w:rsidRDefault="009E15A3" w:rsidP="001C2E7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7CFF">
        <w:rPr>
          <w:rFonts w:ascii="Times New Roman" w:hAnsi="Times New Roman" w:cs="Times New Roman"/>
          <w:b/>
          <w:sz w:val="26"/>
          <w:szCs w:val="26"/>
        </w:rPr>
        <w:t xml:space="preserve">об оценке регулирующего воздействия проекта </w:t>
      </w:r>
      <w:r w:rsidR="00652458" w:rsidRPr="00E97CFF">
        <w:rPr>
          <w:rFonts w:ascii="Times New Roman" w:hAnsi="Times New Roman" w:cs="Times New Roman"/>
          <w:b/>
          <w:sz w:val="26"/>
          <w:szCs w:val="26"/>
        </w:rPr>
        <w:t>постановления</w:t>
      </w:r>
    </w:p>
    <w:p w:rsidR="00652458" w:rsidRPr="00E97CFF" w:rsidRDefault="001C2E76" w:rsidP="001C2E7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7CFF">
        <w:rPr>
          <w:rFonts w:ascii="Times New Roman" w:hAnsi="Times New Roman" w:cs="Times New Roman"/>
          <w:b/>
          <w:sz w:val="26"/>
          <w:szCs w:val="26"/>
        </w:rPr>
        <w:t>Администрации МО</w:t>
      </w:r>
      <w:r w:rsidR="00E97CFF" w:rsidRPr="00E97C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141D" w:rsidRPr="00E97CFF">
        <w:rPr>
          <w:rFonts w:ascii="Times New Roman" w:hAnsi="Times New Roman" w:cs="Times New Roman"/>
          <w:b/>
          <w:sz w:val="26"/>
          <w:szCs w:val="26"/>
        </w:rPr>
        <w:t>"</w:t>
      </w:r>
      <w:r w:rsidRPr="00E97CFF">
        <w:rPr>
          <w:rFonts w:ascii="Times New Roman" w:hAnsi="Times New Roman" w:cs="Times New Roman"/>
          <w:b/>
          <w:sz w:val="26"/>
          <w:szCs w:val="26"/>
        </w:rPr>
        <w:t>Гор</w:t>
      </w:r>
      <w:r w:rsidR="00652458" w:rsidRPr="00E97CFF">
        <w:rPr>
          <w:rFonts w:ascii="Times New Roman" w:hAnsi="Times New Roman" w:cs="Times New Roman"/>
          <w:b/>
          <w:sz w:val="26"/>
          <w:szCs w:val="26"/>
        </w:rPr>
        <w:t>одской округ "Город Нарьян-Мар"</w:t>
      </w:r>
    </w:p>
    <w:p w:rsidR="001C2E76" w:rsidRPr="00E97CFF" w:rsidRDefault="001C2E76" w:rsidP="000D0AEF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7CFF">
        <w:rPr>
          <w:rFonts w:ascii="Times New Roman" w:hAnsi="Times New Roman" w:cs="Times New Roman"/>
          <w:b/>
          <w:sz w:val="26"/>
          <w:szCs w:val="26"/>
        </w:rPr>
        <w:t>"</w:t>
      </w:r>
      <w:r w:rsidR="000D0AEF" w:rsidRPr="00E97CFF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hyperlink r:id="rId8" w:history="1">
        <w:r w:rsidR="000D0AEF" w:rsidRPr="00E97CFF">
          <w:rPr>
            <w:rFonts w:ascii="Times New Roman" w:eastAsiaTheme="minorHAnsi" w:hAnsi="Times New Roman" w:cs="Times New Roman"/>
            <w:b/>
            <w:sz w:val="26"/>
            <w:szCs w:val="26"/>
            <w:lang w:eastAsia="en-US"/>
          </w:rPr>
          <w:t>Методик</w:t>
        </w:r>
      </w:hyperlink>
      <w:r w:rsidR="000D0AEF" w:rsidRPr="00E97CF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и расчета начальной цены права на заключение договора на размещение нестационарного торгового объекта</w:t>
      </w:r>
      <w:r w:rsidRPr="00E97CFF">
        <w:rPr>
          <w:rFonts w:ascii="Times New Roman" w:hAnsi="Times New Roman" w:cs="Times New Roman"/>
          <w:b/>
          <w:sz w:val="26"/>
          <w:szCs w:val="26"/>
        </w:rPr>
        <w:t>"</w:t>
      </w:r>
    </w:p>
    <w:p w:rsidR="00CA2D02" w:rsidRPr="00E97CFF" w:rsidRDefault="00CA2D02" w:rsidP="006B24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67D51" w:rsidRPr="00E97CFF" w:rsidRDefault="00B14B5D" w:rsidP="00EF35D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7CFF">
        <w:rPr>
          <w:rFonts w:ascii="Times New Roman" w:hAnsi="Times New Roman" w:cs="Times New Roman"/>
          <w:sz w:val="26"/>
          <w:szCs w:val="26"/>
        </w:rPr>
        <w:t>Управление</w:t>
      </w:r>
      <w:r w:rsidR="00DA72BB" w:rsidRPr="00E97CFF">
        <w:rPr>
          <w:rFonts w:ascii="Times New Roman" w:hAnsi="Times New Roman" w:cs="Times New Roman"/>
          <w:sz w:val="26"/>
          <w:szCs w:val="26"/>
        </w:rPr>
        <w:t>м</w:t>
      </w:r>
      <w:r w:rsidRPr="00E97CFF">
        <w:rPr>
          <w:rFonts w:ascii="Times New Roman" w:hAnsi="Times New Roman" w:cs="Times New Roman"/>
          <w:sz w:val="26"/>
          <w:szCs w:val="26"/>
        </w:rPr>
        <w:t xml:space="preserve"> экономического и инвестиционного развития Администрации муниципального образования "Горо</w:t>
      </w:r>
      <w:r w:rsidR="003C632A" w:rsidRPr="00E97CFF">
        <w:rPr>
          <w:rFonts w:ascii="Times New Roman" w:hAnsi="Times New Roman" w:cs="Times New Roman"/>
          <w:sz w:val="26"/>
          <w:szCs w:val="26"/>
        </w:rPr>
        <w:t>дской округ "Город Нарьян-Мар" –</w:t>
      </w:r>
      <w:r w:rsidRPr="00E97CFF">
        <w:rPr>
          <w:rFonts w:ascii="Times New Roman" w:hAnsi="Times New Roman" w:cs="Times New Roman"/>
          <w:sz w:val="26"/>
          <w:szCs w:val="26"/>
        </w:rPr>
        <w:t xml:space="preserve"> уполномоченны</w:t>
      </w:r>
      <w:r w:rsidR="001A7EFC" w:rsidRPr="00E97CFF">
        <w:rPr>
          <w:rFonts w:ascii="Times New Roman" w:hAnsi="Times New Roman" w:cs="Times New Roman"/>
          <w:sz w:val="26"/>
          <w:szCs w:val="26"/>
        </w:rPr>
        <w:t>м</w:t>
      </w:r>
      <w:r w:rsidRPr="00E97CFF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1A7EFC" w:rsidRPr="00E97CFF">
        <w:rPr>
          <w:rFonts w:ascii="Times New Roman" w:hAnsi="Times New Roman" w:cs="Times New Roman"/>
          <w:sz w:val="26"/>
          <w:szCs w:val="26"/>
        </w:rPr>
        <w:t>ом</w:t>
      </w:r>
      <w:r w:rsidRPr="00E97CFF">
        <w:rPr>
          <w:rFonts w:ascii="Times New Roman" w:hAnsi="Times New Roman" w:cs="Times New Roman"/>
          <w:sz w:val="26"/>
          <w:szCs w:val="26"/>
        </w:rPr>
        <w:t xml:space="preserve"> по внедрению процедуры оценки регулирующего воздействия проектов нормативных правовых актов муниципального образования "Городской округ "Город Нарьян-Мар" в сфере регулирования предпринимательской</w:t>
      </w:r>
      <w:r w:rsidR="003C632A" w:rsidRPr="00E97CFF">
        <w:rPr>
          <w:rFonts w:ascii="Times New Roman" w:hAnsi="Times New Roman" w:cs="Times New Roman"/>
          <w:sz w:val="26"/>
          <w:szCs w:val="26"/>
        </w:rPr>
        <w:t xml:space="preserve"> и инвестиционной деятельности –</w:t>
      </w:r>
      <w:r w:rsidRPr="00E97CFF">
        <w:rPr>
          <w:rFonts w:ascii="Times New Roman" w:hAnsi="Times New Roman" w:cs="Times New Roman"/>
          <w:sz w:val="26"/>
          <w:szCs w:val="26"/>
        </w:rPr>
        <w:t xml:space="preserve"> в соответствии с Положением </w:t>
      </w:r>
      <w:r w:rsidR="00EE4E5D" w:rsidRPr="00E97CFF">
        <w:rPr>
          <w:rFonts w:ascii="Times New Roman" w:hAnsi="Times New Roman" w:cs="Times New Roman"/>
          <w:sz w:val="26"/>
          <w:szCs w:val="26"/>
        </w:rPr>
        <w:t>о</w:t>
      </w:r>
      <w:r w:rsidRPr="00E97CFF">
        <w:rPr>
          <w:rFonts w:ascii="Times New Roman" w:hAnsi="Times New Roman" w:cs="Times New Roman"/>
          <w:sz w:val="26"/>
          <w:szCs w:val="26"/>
        </w:rPr>
        <w:t xml:space="preserve">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</w:t>
      </w:r>
      <w:proofErr w:type="gramEnd"/>
      <w:r w:rsidRPr="00E97C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97CFF">
        <w:rPr>
          <w:rFonts w:ascii="Times New Roman" w:hAnsi="Times New Roman" w:cs="Times New Roman"/>
          <w:sz w:val="26"/>
          <w:szCs w:val="26"/>
        </w:rPr>
        <w:t>нормативных правовых актов муниципального образования "Городской округ "Город Нарьян-Мар"</w:t>
      </w:r>
      <w:r w:rsidR="00EE4E5D" w:rsidRPr="00E97CFF">
        <w:rPr>
          <w:rFonts w:ascii="Times New Roman" w:hAnsi="Times New Roman" w:cs="Times New Roman"/>
          <w:sz w:val="26"/>
          <w:szCs w:val="26"/>
        </w:rPr>
        <w:t>, утвержденным постановлением Администрации МО "Городской округ "Город Нарьян-Мар" от 26.12.2014 № 3354,</w:t>
      </w:r>
      <w:r w:rsidR="00C66220" w:rsidRPr="00E97CFF">
        <w:rPr>
          <w:rFonts w:ascii="Times New Roman" w:hAnsi="Times New Roman" w:cs="Times New Roman"/>
          <w:sz w:val="26"/>
          <w:szCs w:val="26"/>
        </w:rPr>
        <w:t xml:space="preserve"> </w:t>
      </w:r>
      <w:r w:rsidRPr="00E97CFF">
        <w:rPr>
          <w:rFonts w:ascii="Times New Roman" w:hAnsi="Times New Roman" w:cs="Times New Roman"/>
          <w:sz w:val="26"/>
          <w:szCs w:val="26"/>
        </w:rPr>
        <w:t>рассмотре</w:t>
      </w:r>
      <w:r w:rsidR="00DA72BB" w:rsidRPr="00E97CFF">
        <w:rPr>
          <w:rFonts w:ascii="Times New Roman" w:hAnsi="Times New Roman" w:cs="Times New Roman"/>
          <w:sz w:val="26"/>
          <w:szCs w:val="26"/>
        </w:rPr>
        <w:t>н</w:t>
      </w:r>
      <w:r w:rsidRPr="00E97CFF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646245" w:rsidRPr="00E97CF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46245" w:rsidRPr="00E97CFF">
        <w:rPr>
          <w:rFonts w:ascii="Times New Roman" w:hAnsi="Times New Roman" w:cs="Times New Roman"/>
          <w:sz w:val="26"/>
          <w:szCs w:val="26"/>
        </w:rPr>
        <w:t>постановления Администрации МО Городской округ "Город Нарьян-Мар" "</w:t>
      </w:r>
      <w:r w:rsidR="00DA72BB" w:rsidRPr="00E97CFF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hyperlink r:id="rId9" w:history="1">
        <w:r w:rsidR="00DA72BB" w:rsidRPr="00E97CFF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Методик</w:t>
        </w:r>
      </w:hyperlink>
      <w:r w:rsidR="00DA72BB" w:rsidRPr="00E97CFF">
        <w:rPr>
          <w:rFonts w:ascii="Times New Roman" w:eastAsiaTheme="minorHAnsi" w:hAnsi="Times New Roman" w:cs="Times New Roman"/>
          <w:sz w:val="26"/>
          <w:szCs w:val="26"/>
          <w:lang w:eastAsia="en-US"/>
        </w:rPr>
        <w:t>и расчета начальной цены права на заключение договора на размещение нестационарного торгового объекта</w:t>
      </w:r>
      <w:r w:rsidR="00646245" w:rsidRPr="00E97CFF">
        <w:rPr>
          <w:rFonts w:ascii="Times New Roman" w:hAnsi="Times New Roman" w:cs="Times New Roman"/>
          <w:sz w:val="26"/>
          <w:szCs w:val="26"/>
        </w:rPr>
        <w:t>"</w:t>
      </w:r>
      <w:r w:rsidR="00670B6E" w:rsidRPr="00E97CFF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F152CE" w:rsidRPr="00E97CFF">
        <w:rPr>
          <w:rFonts w:ascii="Times New Roman" w:hAnsi="Times New Roman" w:cs="Times New Roman"/>
          <w:sz w:val="26"/>
          <w:szCs w:val="26"/>
        </w:rPr>
        <w:t xml:space="preserve"> проект акта)</w:t>
      </w:r>
      <w:r w:rsidR="00C313A1" w:rsidRPr="00E97CFF">
        <w:rPr>
          <w:rFonts w:ascii="Times New Roman" w:hAnsi="Times New Roman" w:cs="Times New Roman"/>
          <w:sz w:val="26"/>
          <w:szCs w:val="26"/>
        </w:rPr>
        <w:t xml:space="preserve">, </w:t>
      </w:r>
      <w:r w:rsidR="00D93DDE" w:rsidRPr="00E97CFF">
        <w:rPr>
          <w:rFonts w:ascii="Times New Roman" w:hAnsi="Times New Roman" w:cs="Times New Roman"/>
          <w:sz w:val="26"/>
          <w:szCs w:val="26"/>
        </w:rPr>
        <w:t>по ре</w:t>
      </w:r>
      <w:r w:rsidR="00FE15A8" w:rsidRPr="00E97CFF">
        <w:rPr>
          <w:rFonts w:ascii="Times New Roman" w:hAnsi="Times New Roman" w:cs="Times New Roman"/>
          <w:sz w:val="26"/>
          <w:szCs w:val="26"/>
        </w:rPr>
        <w:t>зультат</w:t>
      </w:r>
      <w:r w:rsidR="00D93DDE" w:rsidRPr="00E97CFF">
        <w:rPr>
          <w:rFonts w:ascii="Times New Roman" w:hAnsi="Times New Roman" w:cs="Times New Roman"/>
          <w:sz w:val="26"/>
          <w:szCs w:val="26"/>
        </w:rPr>
        <w:t xml:space="preserve">ам </w:t>
      </w:r>
      <w:r w:rsidR="00FE15A8" w:rsidRPr="00E97CFF">
        <w:rPr>
          <w:rFonts w:ascii="Times New Roman" w:hAnsi="Times New Roman" w:cs="Times New Roman"/>
          <w:sz w:val="26"/>
          <w:szCs w:val="26"/>
        </w:rPr>
        <w:t>которо</w:t>
      </w:r>
      <w:r w:rsidR="00D8233D" w:rsidRPr="00E97CFF">
        <w:rPr>
          <w:rFonts w:ascii="Times New Roman" w:hAnsi="Times New Roman" w:cs="Times New Roman"/>
          <w:sz w:val="26"/>
          <w:szCs w:val="26"/>
        </w:rPr>
        <w:t>го</w:t>
      </w:r>
      <w:r w:rsidR="00FE15A8" w:rsidRPr="00E97CFF">
        <w:rPr>
          <w:rFonts w:ascii="Times New Roman" w:hAnsi="Times New Roman" w:cs="Times New Roman"/>
          <w:sz w:val="26"/>
          <w:szCs w:val="26"/>
        </w:rPr>
        <w:t xml:space="preserve"> </w:t>
      </w:r>
      <w:r w:rsidR="00C313A1" w:rsidRPr="00E97CFF">
        <w:rPr>
          <w:rFonts w:ascii="Times New Roman" w:hAnsi="Times New Roman" w:cs="Times New Roman"/>
          <w:sz w:val="26"/>
          <w:szCs w:val="26"/>
        </w:rPr>
        <w:t>установлено следующее</w:t>
      </w:r>
      <w:r w:rsidR="00F152CE" w:rsidRPr="00E97CF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152CE" w:rsidRPr="00E97CFF" w:rsidRDefault="00B148D7" w:rsidP="0036141D">
      <w:pPr>
        <w:pStyle w:val="ConsPlusNonforma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CFF">
        <w:rPr>
          <w:rFonts w:ascii="Times New Roman" w:hAnsi="Times New Roman" w:cs="Times New Roman"/>
          <w:sz w:val="26"/>
          <w:szCs w:val="26"/>
        </w:rPr>
        <w:t>П</w:t>
      </w:r>
      <w:r w:rsidR="00F152CE" w:rsidRPr="00E97CFF">
        <w:rPr>
          <w:rFonts w:ascii="Times New Roman" w:hAnsi="Times New Roman" w:cs="Times New Roman"/>
          <w:sz w:val="26"/>
          <w:szCs w:val="26"/>
        </w:rPr>
        <w:t>ри подготовке проекта</w:t>
      </w:r>
      <w:r w:rsidR="00C4430B" w:rsidRPr="00E97CFF">
        <w:rPr>
          <w:sz w:val="26"/>
          <w:szCs w:val="26"/>
        </w:rPr>
        <w:t xml:space="preserve"> </w:t>
      </w:r>
      <w:r w:rsidR="00F152CE" w:rsidRPr="00E97CFF">
        <w:rPr>
          <w:rFonts w:ascii="Times New Roman" w:hAnsi="Times New Roman" w:cs="Times New Roman"/>
          <w:sz w:val="26"/>
          <w:szCs w:val="26"/>
        </w:rPr>
        <w:t xml:space="preserve">акта процедуры, предусмотренные Положением </w:t>
      </w:r>
      <w:r w:rsidR="00E137C6">
        <w:rPr>
          <w:rFonts w:ascii="Times New Roman" w:hAnsi="Times New Roman" w:cs="Times New Roman"/>
          <w:sz w:val="26"/>
          <w:szCs w:val="26"/>
        </w:rPr>
        <w:br/>
      </w:r>
      <w:r w:rsidR="00F152CE" w:rsidRPr="00E97CFF">
        <w:rPr>
          <w:rFonts w:ascii="Times New Roman" w:hAnsi="Times New Roman" w:cs="Times New Roman"/>
          <w:sz w:val="26"/>
          <w:szCs w:val="26"/>
        </w:rPr>
        <w:t xml:space="preserve">"О порядке </w:t>
      </w:r>
      <w:proofErr w:type="gramStart"/>
      <w:r w:rsidR="00F152CE" w:rsidRPr="00E97CFF">
        <w:rPr>
          <w:rFonts w:ascii="Times New Roman" w:hAnsi="Times New Roman" w:cs="Times New Roman"/>
          <w:sz w:val="26"/>
          <w:szCs w:val="26"/>
        </w:rPr>
        <w:t>проведения оценки</w:t>
      </w:r>
      <w:r w:rsidR="00F152CE" w:rsidRPr="00E97CFF">
        <w:rPr>
          <w:sz w:val="26"/>
          <w:szCs w:val="26"/>
        </w:rPr>
        <w:t xml:space="preserve"> </w:t>
      </w:r>
      <w:r w:rsidR="00F152CE" w:rsidRPr="00E97CFF">
        <w:rPr>
          <w:rFonts w:ascii="Times New Roman" w:hAnsi="Times New Roman" w:cs="Times New Roman"/>
          <w:sz w:val="26"/>
          <w:szCs w:val="26"/>
        </w:rPr>
        <w:t>регулирующего воздействия проектов нормативных правовых актов</w:t>
      </w:r>
      <w:r w:rsidR="00F152CE" w:rsidRPr="00E97CFF">
        <w:rPr>
          <w:sz w:val="26"/>
          <w:szCs w:val="26"/>
        </w:rPr>
        <w:t xml:space="preserve"> </w:t>
      </w:r>
      <w:r w:rsidR="00F152CE" w:rsidRPr="00E97CFF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F152CE" w:rsidRPr="00E97CFF">
        <w:rPr>
          <w:rFonts w:ascii="Times New Roman" w:hAnsi="Times New Roman" w:cs="Times New Roman"/>
          <w:sz w:val="26"/>
          <w:szCs w:val="26"/>
        </w:rPr>
        <w:t xml:space="preserve"> образования "Городской округ "Город Нарьян-Мар" </w:t>
      </w:r>
      <w:r w:rsidR="00E137C6">
        <w:rPr>
          <w:rFonts w:ascii="Times New Roman" w:hAnsi="Times New Roman" w:cs="Times New Roman"/>
          <w:sz w:val="26"/>
          <w:szCs w:val="26"/>
        </w:rPr>
        <w:br/>
      </w:r>
      <w:r w:rsidR="00F152CE" w:rsidRPr="00E97CFF">
        <w:rPr>
          <w:rFonts w:ascii="Times New Roman" w:hAnsi="Times New Roman" w:cs="Times New Roman"/>
          <w:sz w:val="26"/>
          <w:szCs w:val="26"/>
        </w:rPr>
        <w:t>и экспертизы</w:t>
      </w:r>
      <w:r w:rsidR="00F152CE" w:rsidRPr="00E97CFF">
        <w:rPr>
          <w:sz w:val="26"/>
          <w:szCs w:val="26"/>
        </w:rPr>
        <w:t xml:space="preserve"> </w:t>
      </w:r>
      <w:r w:rsidR="00F152CE" w:rsidRPr="00E97CFF">
        <w:rPr>
          <w:rFonts w:ascii="Times New Roman" w:hAnsi="Times New Roman" w:cs="Times New Roman"/>
          <w:sz w:val="26"/>
          <w:szCs w:val="26"/>
        </w:rPr>
        <w:t>действующих нормативных правовых актов муниципального образования</w:t>
      </w:r>
      <w:r w:rsidR="00F152CE" w:rsidRPr="00E97CFF">
        <w:rPr>
          <w:sz w:val="26"/>
          <w:szCs w:val="26"/>
        </w:rPr>
        <w:t xml:space="preserve"> </w:t>
      </w:r>
      <w:r w:rsidR="00F152CE" w:rsidRPr="00E97CFF">
        <w:rPr>
          <w:rFonts w:ascii="Times New Roman" w:hAnsi="Times New Roman" w:cs="Times New Roman"/>
          <w:sz w:val="26"/>
          <w:szCs w:val="26"/>
        </w:rPr>
        <w:t xml:space="preserve">"Городской округ "Города Нарьян-Мара", разработчиком соблюдены. Сводный отчет </w:t>
      </w:r>
      <w:r w:rsidR="00E137C6">
        <w:rPr>
          <w:rFonts w:ascii="Times New Roman" w:hAnsi="Times New Roman" w:cs="Times New Roman"/>
          <w:sz w:val="26"/>
          <w:szCs w:val="26"/>
        </w:rPr>
        <w:br/>
      </w:r>
      <w:r w:rsidR="009B6915" w:rsidRPr="00E97CFF">
        <w:rPr>
          <w:rFonts w:ascii="Times New Roman" w:hAnsi="Times New Roman" w:cs="Times New Roman"/>
          <w:sz w:val="26"/>
          <w:szCs w:val="26"/>
        </w:rPr>
        <w:t xml:space="preserve">о результатах проведения оценки регулирующего воздействия проекта муниципального нормативного правового акта </w:t>
      </w:r>
      <w:r w:rsidR="009A7CA7" w:rsidRPr="00E97CFF">
        <w:rPr>
          <w:rFonts w:ascii="Times New Roman" w:hAnsi="Times New Roman" w:cs="Times New Roman"/>
          <w:sz w:val="26"/>
          <w:szCs w:val="26"/>
        </w:rPr>
        <w:t xml:space="preserve">(далее – сводный отчет) </w:t>
      </w:r>
      <w:r w:rsidR="00F152CE" w:rsidRPr="00E97CFF">
        <w:rPr>
          <w:rFonts w:ascii="Times New Roman" w:hAnsi="Times New Roman" w:cs="Times New Roman"/>
          <w:sz w:val="26"/>
          <w:szCs w:val="26"/>
        </w:rPr>
        <w:t>соответствует установленным требованиям.</w:t>
      </w:r>
    </w:p>
    <w:p w:rsidR="00CE7992" w:rsidRPr="00E97CFF" w:rsidRDefault="00FC5BB3" w:rsidP="002514B9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E97CFF">
        <w:rPr>
          <w:sz w:val="26"/>
          <w:szCs w:val="26"/>
        </w:rPr>
        <w:t xml:space="preserve">Информация об оценке регулирующего воздействия проекта акта размещена </w:t>
      </w:r>
      <w:r w:rsidR="00E137C6">
        <w:rPr>
          <w:sz w:val="26"/>
          <w:szCs w:val="26"/>
        </w:rPr>
        <w:br/>
      </w:r>
      <w:r w:rsidRPr="00E97CFF">
        <w:rPr>
          <w:sz w:val="26"/>
          <w:szCs w:val="26"/>
        </w:rPr>
        <w:t xml:space="preserve">на официальном сайте Администрации МО "Городской округ "Город Нарьян-Мар" </w:t>
      </w:r>
      <w:r w:rsidR="00E137C6">
        <w:rPr>
          <w:sz w:val="26"/>
          <w:szCs w:val="26"/>
        </w:rPr>
        <w:br/>
      </w:r>
      <w:r w:rsidRPr="00E97CFF">
        <w:rPr>
          <w:sz w:val="26"/>
          <w:szCs w:val="26"/>
        </w:rPr>
        <w:t>в раздел</w:t>
      </w:r>
      <w:r w:rsidR="00D93DDE" w:rsidRPr="00E97CFF">
        <w:rPr>
          <w:sz w:val="26"/>
          <w:szCs w:val="26"/>
        </w:rPr>
        <w:t>е</w:t>
      </w:r>
      <w:r w:rsidRPr="00E97CFF">
        <w:rPr>
          <w:sz w:val="26"/>
          <w:szCs w:val="26"/>
        </w:rPr>
        <w:t xml:space="preserve"> Деятельность/Экономика/Оценк</w:t>
      </w:r>
      <w:r w:rsidR="002D0392" w:rsidRPr="00E97CFF">
        <w:rPr>
          <w:sz w:val="26"/>
          <w:szCs w:val="26"/>
        </w:rPr>
        <w:t>а регулирующего воздействия</w:t>
      </w:r>
      <w:r w:rsidR="00D93DDE" w:rsidRPr="00E97CFF">
        <w:rPr>
          <w:sz w:val="26"/>
          <w:szCs w:val="26"/>
        </w:rPr>
        <w:t xml:space="preserve"> и </w:t>
      </w:r>
      <w:r w:rsidR="002D0392" w:rsidRPr="00E97CFF">
        <w:rPr>
          <w:sz w:val="26"/>
          <w:szCs w:val="26"/>
        </w:rPr>
        <w:t>в н</w:t>
      </w:r>
      <w:r w:rsidRPr="00E97CFF">
        <w:rPr>
          <w:sz w:val="26"/>
          <w:szCs w:val="26"/>
        </w:rPr>
        <w:t>овост</w:t>
      </w:r>
      <w:r w:rsidR="00CE7992" w:rsidRPr="00E97CFF">
        <w:rPr>
          <w:sz w:val="26"/>
          <w:szCs w:val="26"/>
        </w:rPr>
        <w:t>ной ленте</w:t>
      </w:r>
      <w:r w:rsidR="001A4B52">
        <w:rPr>
          <w:sz w:val="26"/>
          <w:szCs w:val="26"/>
        </w:rPr>
        <w:t xml:space="preserve">, </w:t>
      </w:r>
      <w:r w:rsidR="001A4B52" w:rsidRPr="002D7827">
        <w:rPr>
          <w:sz w:val="26"/>
          <w:szCs w:val="26"/>
        </w:rPr>
        <w:t>направлен</w:t>
      </w:r>
      <w:r w:rsidR="00740380">
        <w:rPr>
          <w:sz w:val="26"/>
          <w:szCs w:val="26"/>
        </w:rPr>
        <w:t>а</w:t>
      </w:r>
      <w:r w:rsidR="001A4B52" w:rsidRPr="002D7827">
        <w:rPr>
          <w:sz w:val="26"/>
          <w:szCs w:val="26"/>
        </w:rPr>
        <w:t xml:space="preserve"> в</w:t>
      </w:r>
      <w:r w:rsidR="001A4B52">
        <w:rPr>
          <w:sz w:val="26"/>
          <w:szCs w:val="26"/>
        </w:rPr>
        <w:t>:</w:t>
      </w:r>
      <w:r w:rsidR="001A4B52" w:rsidRPr="002D7827">
        <w:rPr>
          <w:sz w:val="26"/>
          <w:szCs w:val="26"/>
        </w:rPr>
        <w:t xml:space="preserve"> Департамент финансов и экономики НАО, Совет</w:t>
      </w:r>
      <w:r w:rsidR="001A4B52" w:rsidRPr="005B3F10">
        <w:rPr>
          <w:sz w:val="26"/>
          <w:szCs w:val="26"/>
        </w:rPr>
        <w:t xml:space="preserve"> городского округа "Город Нарьян-Мар",</w:t>
      </w:r>
      <w:r w:rsidR="001A4B52">
        <w:rPr>
          <w:color w:val="FF0000"/>
          <w:sz w:val="26"/>
          <w:szCs w:val="26"/>
        </w:rPr>
        <w:t xml:space="preserve"> </w:t>
      </w:r>
      <w:r w:rsidR="001A4B52" w:rsidRPr="002D7827">
        <w:rPr>
          <w:sz w:val="26"/>
          <w:szCs w:val="26"/>
        </w:rPr>
        <w:t xml:space="preserve">Прокуратуру НАО, </w:t>
      </w:r>
      <w:r w:rsidR="001A4B52" w:rsidRPr="003C700D">
        <w:rPr>
          <w:sz w:val="26"/>
          <w:szCs w:val="26"/>
        </w:rPr>
        <w:t xml:space="preserve">Российский союз </w:t>
      </w:r>
      <w:r w:rsidR="001A4B52" w:rsidRPr="0009643E">
        <w:rPr>
          <w:sz w:val="26"/>
          <w:szCs w:val="26"/>
        </w:rPr>
        <w:t xml:space="preserve">промышленников </w:t>
      </w:r>
      <w:r w:rsidR="00E137C6">
        <w:rPr>
          <w:sz w:val="26"/>
          <w:szCs w:val="26"/>
        </w:rPr>
        <w:br/>
      </w:r>
      <w:r w:rsidR="001A4B52" w:rsidRPr="0009643E">
        <w:rPr>
          <w:sz w:val="26"/>
          <w:szCs w:val="26"/>
        </w:rPr>
        <w:t>и предпринимателей НАО, АО "</w:t>
      </w:r>
      <w:r w:rsidR="001A4B52" w:rsidRPr="0009643E">
        <w:rPr>
          <w:sz w:val="26"/>
        </w:rPr>
        <w:t>Центр развития бизнеса Ненецкого автономного округа",</w:t>
      </w:r>
      <w:r w:rsidR="001A4B52">
        <w:rPr>
          <w:sz w:val="26"/>
        </w:rPr>
        <w:t xml:space="preserve"> </w:t>
      </w:r>
      <w:r w:rsidR="00E137C6">
        <w:rPr>
          <w:sz w:val="26"/>
        </w:rPr>
        <w:br/>
      </w:r>
      <w:r w:rsidR="001A4B52">
        <w:rPr>
          <w:sz w:val="26"/>
        </w:rPr>
        <w:t xml:space="preserve">а так же </w:t>
      </w:r>
      <w:r w:rsidR="001A4B52" w:rsidRPr="002D7827">
        <w:rPr>
          <w:sz w:val="26"/>
          <w:szCs w:val="26"/>
        </w:rPr>
        <w:t>Уполномоченному по</w:t>
      </w:r>
      <w:proofErr w:type="gramEnd"/>
      <w:r w:rsidR="001A4B52" w:rsidRPr="002D7827">
        <w:rPr>
          <w:sz w:val="26"/>
          <w:szCs w:val="26"/>
        </w:rPr>
        <w:t xml:space="preserve"> защите прав предпринимателей в НАО, </w:t>
      </w:r>
      <w:r w:rsidR="001A4B52" w:rsidRPr="0009643E">
        <w:rPr>
          <w:sz w:val="26"/>
          <w:szCs w:val="26"/>
        </w:rPr>
        <w:t>ИП Петрову В.В,</w:t>
      </w:r>
      <w:r w:rsidR="001A4B52" w:rsidRPr="00BF613F">
        <w:rPr>
          <w:color w:val="FF0000"/>
          <w:sz w:val="26"/>
          <w:szCs w:val="26"/>
        </w:rPr>
        <w:t xml:space="preserve"> </w:t>
      </w:r>
      <w:r w:rsidR="001A4B52" w:rsidRPr="004939B2">
        <w:rPr>
          <w:sz w:val="26"/>
          <w:szCs w:val="26"/>
        </w:rPr>
        <w:t xml:space="preserve">ИП </w:t>
      </w:r>
      <w:proofErr w:type="spellStart"/>
      <w:r w:rsidR="001A4B52" w:rsidRPr="004939B2">
        <w:rPr>
          <w:sz w:val="26"/>
          <w:szCs w:val="26"/>
        </w:rPr>
        <w:t>Сеидову</w:t>
      </w:r>
      <w:proofErr w:type="spellEnd"/>
      <w:r w:rsidR="001A4B52" w:rsidRPr="004939B2">
        <w:rPr>
          <w:sz w:val="26"/>
          <w:szCs w:val="26"/>
        </w:rPr>
        <w:t xml:space="preserve"> И.Г., ИП Некрасовой А.В., ИП</w:t>
      </w:r>
      <w:r w:rsidR="001A4B52" w:rsidRPr="0009643E">
        <w:rPr>
          <w:sz w:val="26"/>
          <w:szCs w:val="26"/>
        </w:rPr>
        <w:t xml:space="preserve"> </w:t>
      </w:r>
      <w:proofErr w:type="spellStart"/>
      <w:r w:rsidR="001A4B52" w:rsidRPr="0009643E">
        <w:rPr>
          <w:sz w:val="26"/>
          <w:szCs w:val="26"/>
        </w:rPr>
        <w:t>Садыгову</w:t>
      </w:r>
      <w:proofErr w:type="spellEnd"/>
      <w:r w:rsidR="001A4B52" w:rsidRPr="0009643E">
        <w:rPr>
          <w:sz w:val="26"/>
          <w:szCs w:val="26"/>
        </w:rPr>
        <w:t xml:space="preserve"> Х.М., ИП Джафарову Д.М., </w:t>
      </w:r>
      <w:r w:rsidR="00E137C6">
        <w:rPr>
          <w:sz w:val="26"/>
          <w:szCs w:val="26"/>
        </w:rPr>
        <w:br/>
      </w:r>
      <w:r w:rsidR="001A4B52" w:rsidRPr="0009643E">
        <w:rPr>
          <w:sz w:val="26"/>
          <w:szCs w:val="26"/>
        </w:rPr>
        <w:t xml:space="preserve">ИП </w:t>
      </w:r>
      <w:proofErr w:type="spellStart"/>
      <w:r w:rsidR="001A4B52" w:rsidRPr="0009643E">
        <w:rPr>
          <w:sz w:val="26"/>
          <w:szCs w:val="26"/>
        </w:rPr>
        <w:t>Пунько</w:t>
      </w:r>
      <w:proofErr w:type="spellEnd"/>
      <w:r w:rsidR="001A4B52" w:rsidRPr="0009643E">
        <w:rPr>
          <w:sz w:val="26"/>
          <w:szCs w:val="26"/>
        </w:rPr>
        <w:t xml:space="preserve"> А.Н., </w:t>
      </w:r>
      <w:r w:rsidR="001A4B52">
        <w:rPr>
          <w:sz w:val="26"/>
          <w:szCs w:val="26"/>
        </w:rPr>
        <w:t xml:space="preserve">ИП </w:t>
      </w:r>
      <w:proofErr w:type="spellStart"/>
      <w:r w:rsidR="001A4B52">
        <w:rPr>
          <w:sz w:val="26"/>
          <w:szCs w:val="26"/>
        </w:rPr>
        <w:t>Магеррамову</w:t>
      </w:r>
      <w:proofErr w:type="spellEnd"/>
      <w:r w:rsidR="001A4B52">
        <w:rPr>
          <w:sz w:val="26"/>
          <w:szCs w:val="26"/>
        </w:rPr>
        <w:t xml:space="preserve"> М.М., ИП </w:t>
      </w:r>
      <w:proofErr w:type="spellStart"/>
      <w:r w:rsidR="001A4B52">
        <w:rPr>
          <w:sz w:val="26"/>
          <w:szCs w:val="26"/>
        </w:rPr>
        <w:t>Гадирову</w:t>
      </w:r>
      <w:proofErr w:type="spellEnd"/>
      <w:r w:rsidR="001A4B52">
        <w:rPr>
          <w:sz w:val="26"/>
          <w:szCs w:val="26"/>
        </w:rPr>
        <w:t xml:space="preserve"> Р.Я, ИП </w:t>
      </w:r>
      <w:proofErr w:type="spellStart"/>
      <w:r w:rsidR="001A4B52">
        <w:rPr>
          <w:sz w:val="26"/>
          <w:szCs w:val="26"/>
        </w:rPr>
        <w:t>Ибишову</w:t>
      </w:r>
      <w:proofErr w:type="spellEnd"/>
      <w:r w:rsidR="001A4B52">
        <w:rPr>
          <w:sz w:val="26"/>
          <w:szCs w:val="26"/>
        </w:rPr>
        <w:t xml:space="preserve"> З.А., </w:t>
      </w:r>
      <w:r w:rsidR="00E137C6">
        <w:rPr>
          <w:sz w:val="26"/>
          <w:szCs w:val="26"/>
        </w:rPr>
        <w:br/>
      </w:r>
      <w:r w:rsidR="001A4B52">
        <w:rPr>
          <w:sz w:val="26"/>
          <w:szCs w:val="26"/>
        </w:rPr>
        <w:t xml:space="preserve">ИП </w:t>
      </w:r>
      <w:proofErr w:type="spellStart"/>
      <w:r w:rsidR="001A4B52">
        <w:rPr>
          <w:sz w:val="26"/>
          <w:szCs w:val="26"/>
        </w:rPr>
        <w:t>Киргуевой</w:t>
      </w:r>
      <w:proofErr w:type="spellEnd"/>
      <w:r w:rsidR="001A4B52">
        <w:rPr>
          <w:sz w:val="26"/>
          <w:szCs w:val="26"/>
        </w:rPr>
        <w:t xml:space="preserve"> З.В</w:t>
      </w:r>
      <w:r w:rsidR="00CE7992" w:rsidRPr="00E97CFF">
        <w:rPr>
          <w:bCs/>
          <w:sz w:val="26"/>
          <w:szCs w:val="26"/>
        </w:rPr>
        <w:t>.</w:t>
      </w:r>
    </w:p>
    <w:p w:rsidR="006E75C0" w:rsidRPr="00E97CFF" w:rsidRDefault="00F7773E" w:rsidP="002514B9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97CFF">
        <w:rPr>
          <w:sz w:val="26"/>
          <w:szCs w:val="26"/>
        </w:rPr>
        <w:t xml:space="preserve">В ходе подготовки настоящего заключения были проведены публичные консультации в срок с </w:t>
      </w:r>
      <w:r w:rsidR="0057176D" w:rsidRPr="00E97CFF">
        <w:rPr>
          <w:sz w:val="26"/>
          <w:szCs w:val="26"/>
        </w:rPr>
        <w:t>21</w:t>
      </w:r>
      <w:r w:rsidRPr="00E97CFF">
        <w:rPr>
          <w:sz w:val="26"/>
          <w:szCs w:val="26"/>
        </w:rPr>
        <w:t>.0</w:t>
      </w:r>
      <w:r w:rsidR="0057176D" w:rsidRPr="00E97CFF">
        <w:rPr>
          <w:sz w:val="26"/>
          <w:szCs w:val="26"/>
        </w:rPr>
        <w:t>9</w:t>
      </w:r>
      <w:r w:rsidRPr="00E97CFF">
        <w:rPr>
          <w:sz w:val="26"/>
          <w:szCs w:val="26"/>
        </w:rPr>
        <w:t>.201</w:t>
      </w:r>
      <w:r w:rsidR="0057176D" w:rsidRPr="00E97CFF">
        <w:rPr>
          <w:sz w:val="26"/>
          <w:szCs w:val="26"/>
        </w:rPr>
        <w:t>8</w:t>
      </w:r>
      <w:r w:rsidRPr="00E97CFF">
        <w:rPr>
          <w:sz w:val="26"/>
          <w:szCs w:val="26"/>
        </w:rPr>
        <w:t xml:space="preserve"> по </w:t>
      </w:r>
      <w:r w:rsidR="0057176D" w:rsidRPr="00E97CFF">
        <w:rPr>
          <w:sz w:val="26"/>
          <w:szCs w:val="26"/>
        </w:rPr>
        <w:t>12</w:t>
      </w:r>
      <w:r w:rsidRPr="00E97CFF">
        <w:rPr>
          <w:sz w:val="26"/>
          <w:szCs w:val="26"/>
        </w:rPr>
        <w:t>.</w:t>
      </w:r>
      <w:r w:rsidR="0057176D" w:rsidRPr="00E97CFF">
        <w:rPr>
          <w:sz w:val="26"/>
          <w:szCs w:val="26"/>
        </w:rPr>
        <w:t>10</w:t>
      </w:r>
      <w:r w:rsidRPr="00E97CFF">
        <w:rPr>
          <w:sz w:val="26"/>
          <w:szCs w:val="26"/>
        </w:rPr>
        <w:t>.201</w:t>
      </w:r>
      <w:r w:rsidR="0057176D" w:rsidRPr="00E97CFF">
        <w:rPr>
          <w:sz w:val="26"/>
          <w:szCs w:val="26"/>
        </w:rPr>
        <w:t>8</w:t>
      </w:r>
      <w:r w:rsidRPr="00E97CFF">
        <w:rPr>
          <w:sz w:val="26"/>
          <w:szCs w:val="26"/>
        </w:rPr>
        <w:t>.</w:t>
      </w:r>
    </w:p>
    <w:p w:rsidR="002C1C6F" w:rsidRDefault="002C1C6F" w:rsidP="003E0F6B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97CFF">
        <w:rPr>
          <w:sz w:val="26"/>
          <w:szCs w:val="26"/>
        </w:rPr>
        <w:t xml:space="preserve">Согласно сводному отчету проект </w:t>
      </w:r>
      <w:r w:rsidR="002123BB" w:rsidRPr="00E97CFF">
        <w:rPr>
          <w:sz w:val="26"/>
          <w:szCs w:val="26"/>
        </w:rPr>
        <w:t>акта</w:t>
      </w:r>
      <w:r w:rsidRPr="00E97CFF">
        <w:rPr>
          <w:sz w:val="26"/>
          <w:szCs w:val="26"/>
        </w:rPr>
        <w:t xml:space="preserve"> содержит положения, имеющие </w:t>
      </w:r>
      <w:r w:rsidR="00E976A4" w:rsidRPr="00E97CFF">
        <w:rPr>
          <w:sz w:val="26"/>
          <w:szCs w:val="26"/>
        </w:rPr>
        <w:t>низкую</w:t>
      </w:r>
      <w:r w:rsidRPr="00E97CFF">
        <w:rPr>
          <w:sz w:val="26"/>
          <w:szCs w:val="26"/>
        </w:rPr>
        <w:t xml:space="preserve"> степень регулирующего воздействия.</w:t>
      </w:r>
    </w:p>
    <w:p w:rsidR="00E137C6" w:rsidRDefault="00E137C6" w:rsidP="00E137C6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E137C6" w:rsidRDefault="00E137C6" w:rsidP="00E137C6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</w:p>
    <w:p w:rsidR="001A7EFC" w:rsidRPr="00E97CFF" w:rsidRDefault="001A7EFC" w:rsidP="007752FB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97CFF">
        <w:rPr>
          <w:sz w:val="26"/>
          <w:szCs w:val="26"/>
        </w:rPr>
        <w:lastRenderedPageBreak/>
        <w:t xml:space="preserve">Проект акта разработан в целях обоснованного (реалистичного) определения начальной </w:t>
      </w:r>
      <w:r w:rsidR="004B07E2" w:rsidRPr="00E97CFF">
        <w:rPr>
          <w:sz w:val="26"/>
          <w:szCs w:val="26"/>
        </w:rPr>
        <w:t xml:space="preserve">максимальной цены права на заключение договора на размещение нестационарного торгового объекта, что будет способствовать увеличению поступлений </w:t>
      </w:r>
      <w:r w:rsidR="00E137C6">
        <w:rPr>
          <w:sz w:val="26"/>
          <w:szCs w:val="26"/>
        </w:rPr>
        <w:br/>
      </w:r>
      <w:r w:rsidR="004B07E2" w:rsidRPr="00E97CFF">
        <w:rPr>
          <w:sz w:val="26"/>
          <w:szCs w:val="26"/>
        </w:rPr>
        <w:t>в бюджет</w:t>
      </w:r>
      <w:r w:rsidR="00C50E97">
        <w:rPr>
          <w:sz w:val="26"/>
          <w:szCs w:val="26"/>
        </w:rPr>
        <w:t xml:space="preserve"> МО "Городской округ "Город Нарьян-Мар"</w:t>
      </w:r>
      <w:r w:rsidR="004B07E2" w:rsidRPr="00E97CFF">
        <w:rPr>
          <w:sz w:val="26"/>
          <w:szCs w:val="26"/>
        </w:rPr>
        <w:t>.</w:t>
      </w:r>
    </w:p>
    <w:p w:rsidR="008B6265" w:rsidRPr="00E97CFF" w:rsidRDefault="008B6265" w:rsidP="008B6265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97CFF">
        <w:rPr>
          <w:sz w:val="26"/>
          <w:szCs w:val="26"/>
        </w:rPr>
        <w:t xml:space="preserve">Информация о возникновении, выявлении проблемы и мерах, принятых ранее </w:t>
      </w:r>
      <w:r w:rsidR="00E137C6">
        <w:rPr>
          <w:sz w:val="26"/>
          <w:szCs w:val="26"/>
        </w:rPr>
        <w:br/>
      </w:r>
      <w:r w:rsidRPr="00E97CFF">
        <w:rPr>
          <w:sz w:val="26"/>
          <w:szCs w:val="26"/>
        </w:rPr>
        <w:t>для ее решения, достигнутых рез</w:t>
      </w:r>
      <w:r w:rsidR="0067304B">
        <w:rPr>
          <w:sz w:val="26"/>
          <w:szCs w:val="26"/>
        </w:rPr>
        <w:t>ультатах и затраченных ресурсах.</w:t>
      </w:r>
    </w:p>
    <w:p w:rsidR="00086DF1" w:rsidRPr="00E97CFF" w:rsidRDefault="008B6265" w:rsidP="00086DF1">
      <w:pPr>
        <w:ind w:firstLine="709"/>
        <w:jc w:val="both"/>
        <w:rPr>
          <w:sz w:val="26"/>
          <w:szCs w:val="26"/>
        </w:rPr>
      </w:pPr>
      <w:r w:rsidRPr="00E97CFF">
        <w:rPr>
          <w:sz w:val="26"/>
          <w:szCs w:val="26"/>
        </w:rPr>
        <w:t xml:space="preserve">По мнению разработчика проекта акта, существующие проблемы были выявлены при проведении </w:t>
      </w:r>
      <w:proofErr w:type="gramStart"/>
      <w:r w:rsidRPr="00E97CFF">
        <w:rPr>
          <w:sz w:val="26"/>
          <w:szCs w:val="26"/>
        </w:rPr>
        <w:t>анализа действующих нормативных правовых актов муниципальных образований прочих субъектов Российской Федерации</w:t>
      </w:r>
      <w:proofErr w:type="gramEnd"/>
      <w:r w:rsidRPr="00E97CFF">
        <w:rPr>
          <w:sz w:val="26"/>
          <w:szCs w:val="26"/>
        </w:rPr>
        <w:t>.</w:t>
      </w:r>
    </w:p>
    <w:p w:rsidR="00086DF1" w:rsidRPr="00E97CFF" w:rsidRDefault="00086DF1" w:rsidP="00086DF1">
      <w:pPr>
        <w:pStyle w:val="ae"/>
        <w:numPr>
          <w:ilvl w:val="0"/>
          <w:numId w:val="14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7CFF">
        <w:rPr>
          <w:rFonts w:ascii="Times New Roman" w:hAnsi="Times New Roman"/>
          <w:sz w:val="26"/>
          <w:szCs w:val="26"/>
        </w:rPr>
        <w:t>Характеристика негативных эффектов, возникающих в связи с наличием проблемы, их количественная оценка.</w:t>
      </w:r>
    </w:p>
    <w:p w:rsidR="002D0DC3" w:rsidRPr="00E97CFF" w:rsidRDefault="006B7861" w:rsidP="002D0DC3">
      <w:pPr>
        <w:pStyle w:val="ae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2D0DC3" w:rsidRPr="00E97CFF">
        <w:rPr>
          <w:rFonts w:ascii="Times New Roman" w:hAnsi="Times New Roman"/>
          <w:sz w:val="26"/>
          <w:szCs w:val="26"/>
        </w:rPr>
        <w:t>редоставление мест под размещение нестационарных торговых объектов</w:t>
      </w:r>
      <w:r>
        <w:rPr>
          <w:rFonts w:ascii="Times New Roman" w:hAnsi="Times New Roman"/>
          <w:sz w:val="26"/>
          <w:szCs w:val="26"/>
        </w:rPr>
        <w:t xml:space="preserve"> </w:t>
      </w:r>
      <w:r w:rsidR="00E137C6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с</w:t>
      </w:r>
      <w:r w:rsidRPr="00E97CFF">
        <w:rPr>
          <w:rFonts w:ascii="Times New Roman" w:hAnsi="Times New Roman"/>
          <w:sz w:val="26"/>
          <w:szCs w:val="26"/>
        </w:rPr>
        <w:t xml:space="preserve"> 2012 года</w:t>
      </w:r>
      <w:r w:rsidR="002D0DC3" w:rsidRPr="00E97CFF">
        <w:rPr>
          <w:rFonts w:ascii="Times New Roman" w:hAnsi="Times New Roman"/>
          <w:sz w:val="26"/>
          <w:szCs w:val="26"/>
        </w:rPr>
        <w:t xml:space="preserve"> осуществлялось в соответствии с Порядком организации и проведения аукциона на право размещения нестационарных торговых объекта и заключения договора </w:t>
      </w:r>
      <w:proofErr w:type="gramStart"/>
      <w:r w:rsidR="002D0DC3" w:rsidRPr="00E97CFF">
        <w:rPr>
          <w:rFonts w:ascii="Times New Roman" w:hAnsi="Times New Roman"/>
          <w:sz w:val="26"/>
          <w:szCs w:val="26"/>
        </w:rPr>
        <w:t>на право размещение</w:t>
      </w:r>
      <w:proofErr w:type="gramEnd"/>
      <w:r w:rsidR="002D0DC3" w:rsidRPr="00E97CFF">
        <w:rPr>
          <w:rFonts w:ascii="Times New Roman" w:hAnsi="Times New Roman"/>
          <w:sz w:val="26"/>
          <w:szCs w:val="26"/>
        </w:rPr>
        <w:t xml:space="preserve"> нестационарного торгового объектов, утвержденным постановлением Администрации МО "Городской округ "Город Нарьян-Мар" </w:t>
      </w:r>
      <w:r w:rsidR="00E137C6">
        <w:rPr>
          <w:rFonts w:ascii="Times New Roman" w:hAnsi="Times New Roman"/>
          <w:sz w:val="26"/>
          <w:szCs w:val="26"/>
        </w:rPr>
        <w:br/>
      </w:r>
      <w:r w:rsidR="002D0DC3" w:rsidRPr="00E97CFF">
        <w:rPr>
          <w:rFonts w:ascii="Times New Roman" w:hAnsi="Times New Roman"/>
          <w:sz w:val="26"/>
          <w:szCs w:val="26"/>
        </w:rPr>
        <w:t>от 23.07.2012 № 1613 (далее – По</w:t>
      </w:r>
      <w:r>
        <w:rPr>
          <w:rFonts w:ascii="Times New Roman" w:hAnsi="Times New Roman"/>
          <w:sz w:val="26"/>
          <w:szCs w:val="26"/>
        </w:rPr>
        <w:t>рядок</w:t>
      </w:r>
      <w:r w:rsidR="002D0DC3" w:rsidRPr="00E97CFF">
        <w:rPr>
          <w:rFonts w:ascii="Times New Roman" w:hAnsi="Times New Roman"/>
          <w:sz w:val="26"/>
          <w:szCs w:val="26"/>
        </w:rPr>
        <w:t>). В рамках По</w:t>
      </w:r>
      <w:r>
        <w:rPr>
          <w:rFonts w:ascii="Times New Roman" w:hAnsi="Times New Roman"/>
          <w:sz w:val="26"/>
          <w:szCs w:val="26"/>
        </w:rPr>
        <w:t>рядка</w:t>
      </w:r>
      <w:r w:rsidR="002D0DC3" w:rsidRPr="00E97CFF">
        <w:rPr>
          <w:rFonts w:ascii="Times New Roman" w:hAnsi="Times New Roman"/>
          <w:sz w:val="26"/>
          <w:szCs w:val="26"/>
        </w:rPr>
        <w:t xml:space="preserve"> Администрацией было проведено пять аукционов, из которых два признаны состоявшимися. Только по одному аукциону цена на заключение договора на размещение нестационарного торгового объекта была увеличена. </w:t>
      </w:r>
      <w:proofErr w:type="gramStart"/>
      <w:r w:rsidR="002D0DC3" w:rsidRPr="00E97CFF">
        <w:rPr>
          <w:rFonts w:ascii="Times New Roman" w:hAnsi="Times New Roman"/>
          <w:sz w:val="26"/>
          <w:szCs w:val="26"/>
        </w:rPr>
        <w:t>С 2016 года в По</w:t>
      </w:r>
      <w:r>
        <w:rPr>
          <w:rFonts w:ascii="Times New Roman" w:hAnsi="Times New Roman"/>
          <w:sz w:val="26"/>
          <w:szCs w:val="26"/>
        </w:rPr>
        <w:t>рядок</w:t>
      </w:r>
      <w:r w:rsidR="002D0DC3" w:rsidRPr="00E97CFF">
        <w:rPr>
          <w:rFonts w:ascii="Times New Roman" w:hAnsi="Times New Roman"/>
          <w:sz w:val="26"/>
          <w:szCs w:val="26"/>
        </w:rPr>
        <w:t xml:space="preserve"> были внесены изменения, в соответствии с которыми упрощена процедура заключения договоров на размещение нестационарных торговых объектов, а именно: предусмотрена возможность заключения договоров </w:t>
      </w:r>
      <w:r w:rsidR="00E137C6">
        <w:rPr>
          <w:rFonts w:ascii="Times New Roman" w:hAnsi="Times New Roman"/>
          <w:sz w:val="26"/>
          <w:szCs w:val="26"/>
        </w:rPr>
        <w:br/>
      </w:r>
      <w:r w:rsidR="002D0DC3" w:rsidRPr="00E97CFF">
        <w:rPr>
          <w:rFonts w:ascii="Times New Roman" w:hAnsi="Times New Roman"/>
          <w:sz w:val="26"/>
          <w:szCs w:val="26"/>
        </w:rPr>
        <w:t>на размещение нестационарных торговых объектов без проведения торгов и наличие преимущественного права хозяйствующих субъектов на заключение договора на новый срок, при этом цена на заключение договора на размещение нестационарного торгового объекта не увеличивалась</w:t>
      </w:r>
      <w:proofErr w:type="gramEnd"/>
      <w:r w:rsidR="002D0DC3" w:rsidRPr="00E97CFF">
        <w:rPr>
          <w:rFonts w:ascii="Times New Roman" w:hAnsi="Times New Roman"/>
          <w:sz w:val="26"/>
          <w:szCs w:val="26"/>
        </w:rPr>
        <w:t xml:space="preserve">, что повлекло </w:t>
      </w:r>
      <w:r w:rsidR="002D0DC3" w:rsidRPr="00E25457">
        <w:rPr>
          <w:rFonts w:ascii="Times New Roman" w:hAnsi="Times New Roman"/>
          <w:sz w:val="26"/>
          <w:szCs w:val="26"/>
        </w:rPr>
        <w:t xml:space="preserve">за собой поступление доходов в </w:t>
      </w:r>
      <w:r w:rsidR="00E25457" w:rsidRPr="00E25457">
        <w:rPr>
          <w:rFonts w:ascii="Times New Roman" w:hAnsi="Times New Roman"/>
          <w:sz w:val="26"/>
          <w:szCs w:val="26"/>
        </w:rPr>
        <w:t xml:space="preserve">бюджет </w:t>
      </w:r>
      <w:r w:rsidR="00E137C6">
        <w:rPr>
          <w:rFonts w:ascii="Times New Roman" w:hAnsi="Times New Roman"/>
          <w:sz w:val="26"/>
          <w:szCs w:val="26"/>
        </w:rPr>
        <w:br/>
      </w:r>
      <w:r w:rsidR="00E25457" w:rsidRPr="00E25457">
        <w:rPr>
          <w:rFonts w:ascii="Times New Roman" w:hAnsi="Times New Roman"/>
          <w:sz w:val="26"/>
          <w:szCs w:val="26"/>
        </w:rPr>
        <w:t xml:space="preserve">МО "Городской округ "Город Нарьян-Мар" </w:t>
      </w:r>
      <w:r w:rsidR="002D0DC3" w:rsidRPr="00E25457">
        <w:rPr>
          <w:rFonts w:ascii="Times New Roman" w:hAnsi="Times New Roman"/>
          <w:sz w:val="26"/>
          <w:szCs w:val="26"/>
        </w:rPr>
        <w:t>в</w:t>
      </w:r>
      <w:r w:rsidR="002D0DC3" w:rsidRPr="00E97CFF">
        <w:rPr>
          <w:rFonts w:ascii="Times New Roman" w:hAnsi="Times New Roman"/>
          <w:sz w:val="26"/>
          <w:szCs w:val="26"/>
        </w:rPr>
        <w:t xml:space="preserve"> уменьшенном размере (как если бы при проведен</w:t>
      </w:r>
      <w:proofErr w:type="gramStart"/>
      <w:r w:rsidR="002D0DC3" w:rsidRPr="00E97CFF">
        <w:rPr>
          <w:rFonts w:ascii="Times New Roman" w:hAnsi="Times New Roman"/>
          <w:sz w:val="26"/>
          <w:szCs w:val="26"/>
        </w:rPr>
        <w:t>ии ау</w:t>
      </w:r>
      <w:proofErr w:type="gramEnd"/>
      <w:r w:rsidR="002D0DC3" w:rsidRPr="00E97CFF">
        <w:rPr>
          <w:rFonts w:ascii="Times New Roman" w:hAnsi="Times New Roman"/>
          <w:sz w:val="26"/>
          <w:szCs w:val="26"/>
        </w:rPr>
        <w:t>кциона стоимость размещения нестационарных объектов была бы выше начальной максимальной цены).</w:t>
      </w:r>
    </w:p>
    <w:p w:rsidR="002D0DC3" w:rsidRPr="00E97CFF" w:rsidRDefault="002D0DC3" w:rsidP="002D0DC3">
      <w:pPr>
        <w:pStyle w:val="ae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97CFF">
        <w:rPr>
          <w:rFonts w:ascii="Times New Roman" w:hAnsi="Times New Roman"/>
          <w:sz w:val="26"/>
          <w:szCs w:val="26"/>
        </w:rPr>
        <w:t xml:space="preserve">В связи с незначительной </w:t>
      </w:r>
      <w:r w:rsidR="00E7718F" w:rsidRPr="00E97CFF">
        <w:rPr>
          <w:rFonts w:ascii="Times New Roman" w:hAnsi="Times New Roman"/>
          <w:sz w:val="26"/>
          <w:szCs w:val="26"/>
        </w:rPr>
        <w:t xml:space="preserve">в настоящее время </w:t>
      </w:r>
      <w:r w:rsidRPr="00E97CFF">
        <w:rPr>
          <w:rFonts w:ascii="Times New Roman" w:hAnsi="Times New Roman"/>
          <w:sz w:val="26"/>
          <w:szCs w:val="26"/>
        </w:rPr>
        <w:t xml:space="preserve">платой за размещение </w:t>
      </w:r>
      <w:r w:rsidR="0067304B">
        <w:rPr>
          <w:rFonts w:ascii="Times New Roman" w:hAnsi="Times New Roman"/>
          <w:sz w:val="26"/>
          <w:szCs w:val="26"/>
        </w:rPr>
        <w:t>нестационарных торговых объектов</w:t>
      </w:r>
      <w:r w:rsidRPr="00E97CFF">
        <w:rPr>
          <w:rFonts w:ascii="Times New Roman" w:hAnsi="Times New Roman"/>
          <w:sz w:val="26"/>
          <w:szCs w:val="26"/>
        </w:rPr>
        <w:t xml:space="preserve"> отдельные предприниматели, заключая договоры </w:t>
      </w:r>
      <w:r w:rsidR="00E137C6">
        <w:rPr>
          <w:rFonts w:ascii="Times New Roman" w:hAnsi="Times New Roman"/>
          <w:sz w:val="26"/>
          <w:szCs w:val="26"/>
        </w:rPr>
        <w:br/>
      </w:r>
      <w:r w:rsidRPr="00E97CFF">
        <w:rPr>
          <w:rFonts w:ascii="Times New Roman" w:hAnsi="Times New Roman"/>
          <w:sz w:val="26"/>
          <w:szCs w:val="26"/>
        </w:rPr>
        <w:t xml:space="preserve">на размещения нестационарного торгового объекта, не осуществляют торговлю, при этом у других предпринимателей отсутствует возможность претендовать на данное место для осуществления торговой деятельности, что </w:t>
      </w:r>
      <w:r w:rsidR="0067304B" w:rsidRPr="00E97CFF">
        <w:rPr>
          <w:rFonts w:ascii="Times New Roman" w:hAnsi="Times New Roman"/>
          <w:sz w:val="26"/>
          <w:szCs w:val="26"/>
        </w:rPr>
        <w:t xml:space="preserve">неблагоприятно </w:t>
      </w:r>
      <w:r w:rsidRPr="00E97CFF">
        <w:rPr>
          <w:rFonts w:ascii="Times New Roman" w:hAnsi="Times New Roman"/>
          <w:sz w:val="26"/>
          <w:szCs w:val="26"/>
        </w:rPr>
        <w:t>сказывается на обеспечени</w:t>
      </w:r>
      <w:r w:rsidR="0067304B">
        <w:rPr>
          <w:rFonts w:ascii="Times New Roman" w:hAnsi="Times New Roman"/>
          <w:sz w:val="26"/>
          <w:szCs w:val="26"/>
        </w:rPr>
        <w:t>и</w:t>
      </w:r>
      <w:r w:rsidRPr="00E97CFF">
        <w:rPr>
          <w:rFonts w:ascii="Times New Roman" w:hAnsi="Times New Roman"/>
          <w:sz w:val="26"/>
          <w:szCs w:val="26"/>
        </w:rPr>
        <w:t xml:space="preserve"> </w:t>
      </w:r>
      <w:r w:rsidR="0067304B" w:rsidRPr="00E97CFF">
        <w:rPr>
          <w:rFonts w:ascii="Times New Roman" w:hAnsi="Times New Roman"/>
          <w:sz w:val="26"/>
          <w:szCs w:val="26"/>
        </w:rPr>
        <w:t xml:space="preserve">населения </w:t>
      </w:r>
      <w:r w:rsidRPr="00E97CFF">
        <w:rPr>
          <w:rFonts w:ascii="Times New Roman" w:hAnsi="Times New Roman"/>
          <w:sz w:val="26"/>
          <w:szCs w:val="26"/>
        </w:rPr>
        <w:t>товарами в "шаговой доступности".</w:t>
      </w:r>
      <w:proofErr w:type="gramEnd"/>
    </w:p>
    <w:p w:rsidR="007C2F87" w:rsidRPr="00E97CFF" w:rsidRDefault="00782BC6" w:rsidP="00782BC6">
      <w:pPr>
        <w:pStyle w:val="ae"/>
        <w:numPr>
          <w:ilvl w:val="0"/>
          <w:numId w:val="14"/>
        </w:numPr>
        <w:tabs>
          <w:tab w:val="left" w:pos="993"/>
          <w:tab w:val="left" w:pos="1418"/>
        </w:tabs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7CFF">
        <w:rPr>
          <w:rFonts w:ascii="Times New Roman" w:hAnsi="Times New Roman"/>
          <w:sz w:val="26"/>
          <w:szCs w:val="26"/>
        </w:rPr>
        <w:t>Причины возникновения проблемы и факторы, поддерживающие                          ее существование</w:t>
      </w:r>
      <w:r w:rsidR="00A251E2">
        <w:rPr>
          <w:rFonts w:ascii="Times New Roman" w:hAnsi="Times New Roman"/>
          <w:sz w:val="26"/>
          <w:szCs w:val="26"/>
        </w:rPr>
        <w:t>.</w:t>
      </w:r>
    </w:p>
    <w:p w:rsidR="0002349E" w:rsidRPr="00E97CFF" w:rsidRDefault="00A251E2" w:rsidP="005F18A7">
      <w:pPr>
        <w:pStyle w:val="ae"/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02349E" w:rsidRPr="00E97CFF">
        <w:rPr>
          <w:rFonts w:ascii="Times New Roman" w:hAnsi="Times New Roman"/>
          <w:sz w:val="26"/>
          <w:szCs w:val="26"/>
        </w:rPr>
        <w:t xml:space="preserve">ачальная максимальная цена права на заключение договора на размещение нестационарного торгового объекта </w:t>
      </w:r>
      <w:r>
        <w:rPr>
          <w:rFonts w:ascii="Times New Roman" w:hAnsi="Times New Roman"/>
          <w:sz w:val="26"/>
          <w:szCs w:val="26"/>
        </w:rPr>
        <w:t>с</w:t>
      </w:r>
      <w:r w:rsidRPr="00E97CFF">
        <w:rPr>
          <w:rFonts w:ascii="Times New Roman" w:hAnsi="Times New Roman"/>
          <w:sz w:val="26"/>
          <w:szCs w:val="26"/>
        </w:rPr>
        <w:t xml:space="preserve"> 2012 года </w:t>
      </w:r>
      <w:r w:rsidR="0002349E" w:rsidRPr="00E97CFF">
        <w:rPr>
          <w:rFonts w:ascii="Times New Roman" w:hAnsi="Times New Roman"/>
          <w:sz w:val="26"/>
          <w:szCs w:val="26"/>
        </w:rPr>
        <w:t xml:space="preserve">определялась в соответствии с </w:t>
      </w:r>
      <w:hyperlink r:id="rId10" w:history="1">
        <w:r w:rsidR="0002349E" w:rsidRPr="00E97CFF">
          <w:rPr>
            <w:rFonts w:ascii="Times New Roman" w:eastAsia="Times New Roman" w:hAnsi="Times New Roman"/>
            <w:sz w:val="26"/>
            <w:szCs w:val="26"/>
          </w:rPr>
          <w:t>Методик</w:t>
        </w:r>
      </w:hyperlink>
      <w:r w:rsidR="0002349E" w:rsidRPr="00E97CFF">
        <w:rPr>
          <w:rFonts w:ascii="Times New Roman" w:eastAsia="Times New Roman" w:hAnsi="Times New Roman"/>
          <w:sz w:val="26"/>
          <w:szCs w:val="26"/>
        </w:rPr>
        <w:t>ой расчета начальной цены права на заключение договора на размещение нестационарного торгового объекта, утвержденной постановлением Администрации МО "Городской округ "Город Нарьян-Мар" от 23.07.2012 № 1613. Изменения, вносимые в данный нормативный правовой акт, не влияли на начальную цену для заключения договора на размещение нестационарных торговых объектов.</w:t>
      </w:r>
    </w:p>
    <w:p w:rsidR="0002349E" w:rsidRDefault="0002349E" w:rsidP="005F18A7">
      <w:pPr>
        <w:pStyle w:val="ae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7CFF">
        <w:rPr>
          <w:rFonts w:ascii="Times New Roman" w:hAnsi="Times New Roman"/>
          <w:sz w:val="26"/>
          <w:szCs w:val="26"/>
        </w:rPr>
        <w:t>Проведен анализ действующих нормативных правовых актов муниципальных образований прочих субъектов Российской Федерации.</w:t>
      </w:r>
    </w:p>
    <w:p w:rsidR="006D420B" w:rsidRDefault="006D420B" w:rsidP="005F18A7">
      <w:pPr>
        <w:pStyle w:val="ae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D420B" w:rsidRDefault="006D420B" w:rsidP="005F18A7">
      <w:pPr>
        <w:pStyle w:val="ae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D420B" w:rsidRDefault="006D420B" w:rsidP="005F18A7">
      <w:pPr>
        <w:pStyle w:val="ae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D420B" w:rsidRDefault="006D420B" w:rsidP="005F18A7">
      <w:pPr>
        <w:pStyle w:val="ae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02349E" w:rsidRPr="00E97CFF" w:rsidRDefault="0002349E" w:rsidP="005F18A7">
      <w:pPr>
        <w:pStyle w:val="ae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7CFF">
        <w:rPr>
          <w:rFonts w:ascii="Times New Roman" w:hAnsi="Times New Roman"/>
          <w:sz w:val="26"/>
          <w:szCs w:val="26"/>
        </w:rPr>
        <w:lastRenderedPageBreak/>
        <w:t>Анализ сложившейся практики других регионов показал следующие базовые ставки платы за размещение НТО: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111"/>
      </w:tblGrid>
      <w:tr w:rsidR="0002349E" w:rsidRPr="00E97CFF" w:rsidTr="0002349E">
        <w:trPr>
          <w:jc w:val="center"/>
        </w:trPr>
        <w:tc>
          <w:tcPr>
            <w:tcW w:w="4219" w:type="dxa"/>
            <w:shd w:val="clear" w:color="auto" w:fill="auto"/>
          </w:tcPr>
          <w:p w:rsidR="0002349E" w:rsidRPr="00E97CFF" w:rsidRDefault="0002349E" w:rsidP="0002349E">
            <w:pPr>
              <w:pStyle w:val="af"/>
              <w:jc w:val="center"/>
              <w:rPr>
                <w:sz w:val="24"/>
                <w:szCs w:val="24"/>
              </w:rPr>
            </w:pPr>
            <w:r w:rsidRPr="00E97CFF">
              <w:rPr>
                <w:sz w:val="24"/>
                <w:szCs w:val="24"/>
              </w:rPr>
              <w:t>Наименование города</w:t>
            </w:r>
          </w:p>
        </w:tc>
        <w:tc>
          <w:tcPr>
            <w:tcW w:w="4111" w:type="dxa"/>
            <w:shd w:val="clear" w:color="auto" w:fill="auto"/>
          </w:tcPr>
          <w:p w:rsidR="0002349E" w:rsidRPr="00E97CFF" w:rsidRDefault="0002349E" w:rsidP="0002349E">
            <w:pPr>
              <w:pStyle w:val="af"/>
              <w:jc w:val="center"/>
              <w:rPr>
                <w:sz w:val="24"/>
                <w:szCs w:val="24"/>
              </w:rPr>
            </w:pPr>
            <w:r w:rsidRPr="00E97CFF">
              <w:rPr>
                <w:sz w:val="24"/>
                <w:szCs w:val="24"/>
              </w:rPr>
              <w:t>Стоимость права размещения нестационарных торговых объектов за 1 кв</w:t>
            </w:r>
            <w:proofErr w:type="gramStart"/>
            <w:r w:rsidRPr="00E97CFF">
              <w:rPr>
                <w:sz w:val="24"/>
                <w:szCs w:val="24"/>
              </w:rPr>
              <w:t>.м</w:t>
            </w:r>
            <w:proofErr w:type="gramEnd"/>
            <w:r w:rsidRPr="00E97CFF">
              <w:rPr>
                <w:sz w:val="24"/>
                <w:szCs w:val="24"/>
              </w:rPr>
              <w:t xml:space="preserve">  в месяц</w:t>
            </w:r>
          </w:p>
        </w:tc>
      </w:tr>
      <w:tr w:rsidR="00935941" w:rsidRPr="00E97CFF" w:rsidTr="00593BFC">
        <w:trPr>
          <w:jc w:val="center"/>
        </w:trPr>
        <w:tc>
          <w:tcPr>
            <w:tcW w:w="4219" w:type="dxa"/>
            <w:shd w:val="clear" w:color="auto" w:fill="auto"/>
          </w:tcPr>
          <w:p w:rsidR="00935941" w:rsidRPr="00E97CFF" w:rsidRDefault="00935941" w:rsidP="00593BFC">
            <w:pPr>
              <w:pStyle w:val="af"/>
              <w:rPr>
                <w:sz w:val="24"/>
                <w:szCs w:val="24"/>
                <w:shd w:val="clear" w:color="auto" w:fill="F7FAFF"/>
              </w:rPr>
            </w:pPr>
            <w:r w:rsidRPr="00E97CFF">
              <w:rPr>
                <w:sz w:val="24"/>
                <w:szCs w:val="24"/>
                <w:shd w:val="clear" w:color="auto" w:fill="F7FAFF"/>
              </w:rPr>
              <w:t>п. Искателей НАО</w:t>
            </w:r>
          </w:p>
        </w:tc>
        <w:tc>
          <w:tcPr>
            <w:tcW w:w="4111" w:type="dxa"/>
            <w:shd w:val="clear" w:color="auto" w:fill="auto"/>
          </w:tcPr>
          <w:p w:rsidR="00935941" w:rsidRPr="00E97CFF" w:rsidRDefault="00935941" w:rsidP="00593BFC">
            <w:pPr>
              <w:pStyle w:val="af"/>
              <w:rPr>
                <w:sz w:val="24"/>
                <w:szCs w:val="24"/>
              </w:rPr>
            </w:pPr>
            <w:r w:rsidRPr="00E97CFF">
              <w:rPr>
                <w:sz w:val="24"/>
                <w:szCs w:val="24"/>
              </w:rPr>
              <w:t>2 753,47 – 4 237,20 руб.</w:t>
            </w:r>
          </w:p>
        </w:tc>
      </w:tr>
      <w:tr w:rsidR="00935941" w:rsidRPr="00E97CFF" w:rsidTr="00F61284">
        <w:trPr>
          <w:jc w:val="center"/>
        </w:trPr>
        <w:tc>
          <w:tcPr>
            <w:tcW w:w="4219" w:type="dxa"/>
            <w:shd w:val="clear" w:color="auto" w:fill="auto"/>
          </w:tcPr>
          <w:p w:rsidR="00935941" w:rsidRPr="00E97CFF" w:rsidRDefault="00935941" w:rsidP="00F61284">
            <w:pPr>
              <w:pStyle w:val="af"/>
              <w:rPr>
                <w:sz w:val="24"/>
                <w:szCs w:val="24"/>
                <w:shd w:val="clear" w:color="auto" w:fill="F7FAFF"/>
              </w:rPr>
            </w:pPr>
            <w:r w:rsidRPr="00E97CFF">
              <w:rPr>
                <w:sz w:val="24"/>
                <w:szCs w:val="24"/>
                <w:shd w:val="clear" w:color="auto" w:fill="F7FAFF"/>
              </w:rPr>
              <w:t>г. Усинск</w:t>
            </w:r>
          </w:p>
        </w:tc>
        <w:tc>
          <w:tcPr>
            <w:tcW w:w="4111" w:type="dxa"/>
            <w:shd w:val="clear" w:color="auto" w:fill="auto"/>
          </w:tcPr>
          <w:p w:rsidR="00935941" w:rsidRPr="00E97CFF" w:rsidRDefault="00935941" w:rsidP="00F61284">
            <w:pPr>
              <w:pStyle w:val="af"/>
              <w:rPr>
                <w:sz w:val="24"/>
                <w:szCs w:val="24"/>
              </w:rPr>
            </w:pPr>
            <w:r w:rsidRPr="00E97CFF">
              <w:rPr>
                <w:sz w:val="24"/>
                <w:szCs w:val="24"/>
              </w:rPr>
              <w:t>125,00 руб.</w:t>
            </w:r>
          </w:p>
        </w:tc>
      </w:tr>
      <w:tr w:rsidR="00935941" w:rsidRPr="00E97CFF" w:rsidTr="00517E83">
        <w:trPr>
          <w:jc w:val="center"/>
        </w:trPr>
        <w:tc>
          <w:tcPr>
            <w:tcW w:w="4219" w:type="dxa"/>
            <w:shd w:val="clear" w:color="auto" w:fill="auto"/>
          </w:tcPr>
          <w:p w:rsidR="00935941" w:rsidRPr="00E97CFF" w:rsidRDefault="00935941" w:rsidP="00517E83">
            <w:pPr>
              <w:pStyle w:val="af"/>
              <w:rPr>
                <w:sz w:val="24"/>
                <w:szCs w:val="24"/>
                <w:shd w:val="clear" w:color="auto" w:fill="F7FAFF"/>
              </w:rPr>
            </w:pPr>
            <w:r w:rsidRPr="00E97CFF">
              <w:rPr>
                <w:sz w:val="24"/>
                <w:szCs w:val="24"/>
                <w:shd w:val="clear" w:color="auto" w:fill="F7FAFF"/>
              </w:rPr>
              <w:t>г. Сыктывкар</w:t>
            </w:r>
          </w:p>
        </w:tc>
        <w:tc>
          <w:tcPr>
            <w:tcW w:w="4111" w:type="dxa"/>
            <w:shd w:val="clear" w:color="auto" w:fill="auto"/>
          </w:tcPr>
          <w:p w:rsidR="00935941" w:rsidRPr="00E97CFF" w:rsidRDefault="00935941" w:rsidP="00517E83">
            <w:pPr>
              <w:pStyle w:val="af"/>
              <w:rPr>
                <w:sz w:val="24"/>
                <w:szCs w:val="24"/>
              </w:rPr>
            </w:pPr>
            <w:r w:rsidRPr="00E97CFF">
              <w:rPr>
                <w:sz w:val="24"/>
                <w:szCs w:val="24"/>
              </w:rPr>
              <w:t>125,00 – 312,00 руб.</w:t>
            </w:r>
          </w:p>
        </w:tc>
      </w:tr>
      <w:tr w:rsidR="00935941" w:rsidRPr="00E97CFF" w:rsidTr="006B1D37">
        <w:trPr>
          <w:jc w:val="center"/>
        </w:trPr>
        <w:tc>
          <w:tcPr>
            <w:tcW w:w="4219" w:type="dxa"/>
            <w:shd w:val="clear" w:color="auto" w:fill="auto"/>
          </w:tcPr>
          <w:p w:rsidR="00935941" w:rsidRPr="00E97CFF" w:rsidRDefault="00935941" w:rsidP="006B1D37">
            <w:pPr>
              <w:pStyle w:val="af"/>
              <w:rPr>
                <w:sz w:val="24"/>
                <w:szCs w:val="24"/>
                <w:shd w:val="clear" w:color="auto" w:fill="F7FAFF"/>
              </w:rPr>
            </w:pPr>
            <w:r w:rsidRPr="00E97CFF">
              <w:rPr>
                <w:sz w:val="24"/>
                <w:szCs w:val="24"/>
                <w:shd w:val="clear" w:color="auto" w:fill="F7FAFF"/>
              </w:rPr>
              <w:t>г. Вологда</w:t>
            </w:r>
          </w:p>
        </w:tc>
        <w:tc>
          <w:tcPr>
            <w:tcW w:w="4111" w:type="dxa"/>
            <w:shd w:val="clear" w:color="auto" w:fill="auto"/>
          </w:tcPr>
          <w:p w:rsidR="00935941" w:rsidRPr="00E97CFF" w:rsidRDefault="00935941" w:rsidP="006B1D37">
            <w:pPr>
              <w:pStyle w:val="af"/>
              <w:rPr>
                <w:sz w:val="24"/>
                <w:szCs w:val="24"/>
              </w:rPr>
            </w:pPr>
            <w:r w:rsidRPr="00E97CFF">
              <w:rPr>
                <w:sz w:val="24"/>
                <w:szCs w:val="24"/>
              </w:rPr>
              <w:t>138,00 – 257,00 руб.</w:t>
            </w:r>
          </w:p>
        </w:tc>
      </w:tr>
      <w:tr w:rsidR="00935941" w:rsidRPr="00E97CFF" w:rsidTr="00B51493">
        <w:trPr>
          <w:jc w:val="center"/>
        </w:trPr>
        <w:tc>
          <w:tcPr>
            <w:tcW w:w="4219" w:type="dxa"/>
            <w:shd w:val="clear" w:color="auto" w:fill="auto"/>
          </w:tcPr>
          <w:p w:rsidR="00935941" w:rsidRPr="00E97CFF" w:rsidRDefault="00935941" w:rsidP="00B51493">
            <w:pPr>
              <w:pStyle w:val="af"/>
              <w:rPr>
                <w:sz w:val="24"/>
                <w:szCs w:val="24"/>
                <w:shd w:val="clear" w:color="auto" w:fill="F7FAFF"/>
              </w:rPr>
            </w:pPr>
            <w:r w:rsidRPr="00E97CFF">
              <w:rPr>
                <w:sz w:val="24"/>
                <w:szCs w:val="24"/>
              </w:rPr>
              <w:t xml:space="preserve">г. </w:t>
            </w:r>
            <w:r w:rsidRPr="00E97CFF">
              <w:rPr>
                <w:sz w:val="24"/>
                <w:szCs w:val="24"/>
                <w:shd w:val="clear" w:color="auto" w:fill="F7FAFF"/>
              </w:rPr>
              <w:t>Великий Устюг</w:t>
            </w:r>
          </w:p>
        </w:tc>
        <w:tc>
          <w:tcPr>
            <w:tcW w:w="4111" w:type="dxa"/>
            <w:shd w:val="clear" w:color="auto" w:fill="auto"/>
          </w:tcPr>
          <w:p w:rsidR="00935941" w:rsidRPr="00E97CFF" w:rsidRDefault="00935941" w:rsidP="00B51493">
            <w:pPr>
              <w:pStyle w:val="af"/>
              <w:rPr>
                <w:sz w:val="24"/>
                <w:szCs w:val="24"/>
              </w:rPr>
            </w:pPr>
            <w:r w:rsidRPr="00E97CFF">
              <w:rPr>
                <w:sz w:val="24"/>
                <w:szCs w:val="24"/>
              </w:rPr>
              <w:t>130,00 – 200,00 руб.</w:t>
            </w:r>
          </w:p>
        </w:tc>
      </w:tr>
      <w:tr w:rsidR="00C13207" w:rsidRPr="00E97CFF" w:rsidTr="008F17BE">
        <w:trPr>
          <w:jc w:val="center"/>
        </w:trPr>
        <w:tc>
          <w:tcPr>
            <w:tcW w:w="4219" w:type="dxa"/>
            <w:shd w:val="clear" w:color="auto" w:fill="auto"/>
          </w:tcPr>
          <w:p w:rsidR="00C13207" w:rsidRPr="00E97CFF" w:rsidRDefault="00C13207" w:rsidP="008F17BE">
            <w:pPr>
              <w:pStyle w:val="af"/>
              <w:rPr>
                <w:sz w:val="24"/>
                <w:szCs w:val="24"/>
                <w:shd w:val="clear" w:color="auto" w:fill="F7FAFF"/>
              </w:rPr>
            </w:pPr>
            <w:r w:rsidRPr="00E97CFF">
              <w:rPr>
                <w:sz w:val="24"/>
                <w:szCs w:val="24"/>
              </w:rPr>
              <w:t xml:space="preserve">г. </w:t>
            </w:r>
            <w:r w:rsidRPr="00E97CFF">
              <w:rPr>
                <w:sz w:val="24"/>
                <w:szCs w:val="24"/>
                <w:shd w:val="clear" w:color="auto" w:fill="F7FAFF"/>
              </w:rPr>
              <w:t xml:space="preserve">Киров </w:t>
            </w:r>
          </w:p>
        </w:tc>
        <w:tc>
          <w:tcPr>
            <w:tcW w:w="4111" w:type="dxa"/>
            <w:shd w:val="clear" w:color="auto" w:fill="auto"/>
          </w:tcPr>
          <w:p w:rsidR="00C13207" w:rsidRPr="00E97CFF" w:rsidRDefault="00C13207" w:rsidP="008F17BE">
            <w:pPr>
              <w:pStyle w:val="af"/>
              <w:rPr>
                <w:sz w:val="24"/>
                <w:szCs w:val="24"/>
              </w:rPr>
            </w:pPr>
            <w:r w:rsidRPr="00E97CFF">
              <w:rPr>
                <w:sz w:val="24"/>
                <w:szCs w:val="24"/>
              </w:rPr>
              <w:t>100,00 – 300,00 руб.</w:t>
            </w:r>
          </w:p>
        </w:tc>
      </w:tr>
      <w:tr w:rsidR="00C13207" w:rsidRPr="00E97CFF" w:rsidTr="002A7BE3">
        <w:trPr>
          <w:jc w:val="center"/>
        </w:trPr>
        <w:tc>
          <w:tcPr>
            <w:tcW w:w="4219" w:type="dxa"/>
            <w:shd w:val="clear" w:color="auto" w:fill="auto"/>
          </w:tcPr>
          <w:p w:rsidR="00C13207" w:rsidRPr="00E97CFF" w:rsidRDefault="00C13207" w:rsidP="002A7BE3">
            <w:pPr>
              <w:pStyle w:val="af"/>
              <w:rPr>
                <w:sz w:val="24"/>
                <w:szCs w:val="24"/>
                <w:shd w:val="clear" w:color="auto" w:fill="F7FAFF"/>
              </w:rPr>
            </w:pPr>
            <w:r w:rsidRPr="00E97CFF">
              <w:rPr>
                <w:sz w:val="24"/>
                <w:szCs w:val="24"/>
              </w:rPr>
              <w:t xml:space="preserve">г. </w:t>
            </w:r>
            <w:r w:rsidRPr="00E97CFF">
              <w:rPr>
                <w:sz w:val="24"/>
                <w:szCs w:val="24"/>
                <w:shd w:val="clear" w:color="auto" w:fill="F7FAFF"/>
              </w:rPr>
              <w:t>Мурманск</w:t>
            </w:r>
          </w:p>
        </w:tc>
        <w:tc>
          <w:tcPr>
            <w:tcW w:w="4111" w:type="dxa"/>
            <w:shd w:val="clear" w:color="auto" w:fill="auto"/>
          </w:tcPr>
          <w:p w:rsidR="00C13207" w:rsidRPr="00E97CFF" w:rsidRDefault="00C13207" w:rsidP="002A7BE3">
            <w:pPr>
              <w:pStyle w:val="af"/>
              <w:rPr>
                <w:sz w:val="24"/>
                <w:szCs w:val="24"/>
              </w:rPr>
            </w:pPr>
            <w:r w:rsidRPr="00E97CFF">
              <w:rPr>
                <w:sz w:val="24"/>
                <w:szCs w:val="24"/>
              </w:rPr>
              <w:t>544,00 руб.</w:t>
            </w:r>
          </w:p>
        </w:tc>
      </w:tr>
      <w:tr w:rsidR="00C13207" w:rsidRPr="00E97CFF" w:rsidTr="0073780C">
        <w:trPr>
          <w:jc w:val="center"/>
        </w:trPr>
        <w:tc>
          <w:tcPr>
            <w:tcW w:w="4219" w:type="dxa"/>
            <w:shd w:val="clear" w:color="auto" w:fill="auto"/>
          </w:tcPr>
          <w:p w:rsidR="00C13207" w:rsidRPr="00E97CFF" w:rsidRDefault="00C13207" w:rsidP="0073780C">
            <w:pPr>
              <w:pStyle w:val="af"/>
              <w:rPr>
                <w:sz w:val="24"/>
                <w:szCs w:val="24"/>
                <w:shd w:val="clear" w:color="auto" w:fill="F7FAFF"/>
              </w:rPr>
            </w:pPr>
            <w:r w:rsidRPr="00E97CFF">
              <w:rPr>
                <w:sz w:val="24"/>
                <w:szCs w:val="24"/>
              </w:rPr>
              <w:t xml:space="preserve">г. </w:t>
            </w:r>
            <w:r w:rsidRPr="00E97CFF">
              <w:rPr>
                <w:sz w:val="24"/>
                <w:szCs w:val="24"/>
                <w:shd w:val="clear" w:color="auto" w:fill="F7FAFF"/>
              </w:rPr>
              <w:t>Сургут</w:t>
            </w:r>
          </w:p>
        </w:tc>
        <w:tc>
          <w:tcPr>
            <w:tcW w:w="4111" w:type="dxa"/>
            <w:shd w:val="clear" w:color="auto" w:fill="auto"/>
          </w:tcPr>
          <w:p w:rsidR="00C13207" w:rsidRPr="00E97CFF" w:rsidRDefault="00C13207" w:rsidP="0073780C">
            <w:pPr>
              <w:pStyle w:val="af"/>
              <w:rPr>
                <w:sz w:val="24"/>
                <w:szCs w:val="24"/>
              </w:rPr>
            </w:pPr>
            <w:r w:rsidRPr="00E97CFF">
              <w:rPr>
                <w:sz w:val="24"/>
                <w:szCs w:val="24"/>
              </w:rPr>
              <w:t>251,70 руб.</w:t>
            </w:r>
          </w:p>
        </w:tc>
      </w:tr>
      <w:tr w:rsidR="00C13207" w:rsidRPr="00E97CFF" w:rsidTr="00D0377F">
        <w:trPr>
          <w:jc w:val="center"/>
        </w:trPr>
        <w:tc>
          <w:tcPr>
            <w:tcW w:w="4219" w:type="dxa"/>
            <w:shd w:val="clear" w:color="auto" w:fill="auto"/>
          </w:tcPr>
          <w:p w:rsidR="00C13207" w:rsidRPr="00E97CFF" w:rsidRDefault="00C13207" w:rsidP="00D0377F">
            <w:pPr>
              <w:pStyle w:val="af"/>
              <w:rPr>
                <w:sz w:val="24"/>
                <w:szCs w:val="24"/>
                <w:shd w:val="clear" w:color="auto" w:fill="F7FAFF"/>
              </w:rPr>
            </w:pPr>
            <w:r w:rsidRPr="00E97CFF">
              <w:rPr>
                <w:sz w:val="24"/>
                <w:szCs w:val="24"/>
              </w:rPr>
              <w:t xml:space="preserve">г. </w:t>
            </w:r>
            <w:r w:rsidRPr="00E97CFF">
              <w:rPr>
                <w:sz w:val="24"/>
                <w:szCs w:val="24"/>
                <w:shd w:val="clear" w:color="auto" w:fill="F7FAFF"/>
              </w:rPr>
              <w:t>Калуга</w:t>
            </w:r>
          </w:p>
        </w:tc>
        <w:tc>
          <w:tcPr>
            <w:tcW w:w="4111" w:type="dxa"/>
            <w:shd w:val="clear" w:color="auto" w:fill="auto"/>
          </w:tcPr>
          <w:p w:rsidR="00C13207" w:rsidRPr="00E97CFF" w:rsidRDefault="00C13207" w:rsidP="00D0377F">
            <w:pPr>
              <w:pStyle w:val="af"/>
              <w:rPr>
                <w:sz w:val="24"/>
                <w:szCs w:val="24"/>
              </w:rPr>
            </w:pPr>
            <w:r w:rsidRPr="00E97CFF">
              <w:rPr>
                <w:sz w:val="24"/>
                <w:szCs w:val="24"/>
              </w:rPr>
              <w:t>355,00 руб.</w:t>
            </w:r>
          </w:p>
        </w:tc>
      </w:tr>
      <w:tr w:rsidR="00C13207" w:rsidRPr="00E97CFF" w:rsidTr="00CF302C">
        <w:trPr>
          <w:jc w:val="center"/>
        </w:trPr>
        <w:tc>
          <w:tcPr>
            <w:tcW w:w="4219" w:type="dxa"/>
            <w:shd w:val="clear" w:color="auto" w:fill="auto"/>
          </w:tcPr>
          <w:p w:rsidR="00C13207" w:rsidRPr="00E97CFF" w:rsidRDefault="00C13207" w:rsidP="00CF302C">
            <w:pPr>
              <w:pStyle w:val="af"/>
              <w:rPr>
                <w:sz w:val="24"/>
                <w:szCs w:val="24"/>
                <w:shd w:val="clear" w:color="auto" w:fill="F7FAFF"/>
              </w:rPr>
            </w:pPr>
            <w:r w:rsidRPr="00E97CFF">
              <w:rPr>
                <w:sz w:val="24"/>
                <w:szCs w:val="24"/>
              </w:rPr>
              <w:t xml:space="preserve">г. </w:t>
            </w:r>
            <w:r w:rsidRPr="00E97CFF">
              <w:rPr>
                <w:sz w:val="24"/>
                <w:szCs w:val="24"/>
                <w:shd w:val="clear" w:color="auto" w:fill="F7FAFF"/>
              </w:rPr>
              <w:t>Макарьев (Костромская область)</w:t>
            </w:r>
          </w:p>
        </w:tc>
        <w:tc>
          <w:tcPr>
            <w:tcW w:w="4111" w:type="dxa"/>
            <w:shd w:val="clear" w:color="auto" w:fill="auto"/>
          </w:tcPr>
          <w:p w:rsidR="00C13207" w:rsidRPr="00E97CFF" w:rsidRDefault="00C13207" w:rsidP="00CF302C">
            <w:pPr>
              <w:pStyle w:val="af"/>
              <w:rPr>
                <w:sz w:val="24"/>
                <w:szCs w:val="24"/>
              </w:rPr>
            </w:pPr>
            <w:r w:rsidRPr="00E97CFF">
              <w:rPr>
                <w:sz w:val="24"/>
                <w:szCs w:val="24"/>
              </w:rPr>
              <w:t>500,00 руб.</w:t>
            </w:r>
          </w:p>
        </w:tc>
      </w:tr>
      <w:tr w:rsidR="00C13207" w:rsidRPr="00E97CFF" w:rsidTr="009A17A6">
        <w:trPr>
          <w:jc w:val="center"/>
        </w:trPr>
        <w:tc>
          <w:tcPr>
            <w:tcW w:w="4219" w:type="dxa"/>
            <w:shd w:val="clear" w:color="auto" w:fill="auto"/>
          </w:tcPr>
          <w:p w:rsidR="00C13207" w:rsidRPr="00E97CFF" w:rsidRDefault="00C13207" w:rsidP="009A17A6">
            <w:pPr>
              <w:pStyle w:val="af"/>
              <w:rPr>
                <w:sz w:val="24"/>
                <w:szCs w:val="24"/>
                <w:shd w:val="clear" w:color="auto" w:fill="F7FAFF"/>
              </w:rPr>
            </w:pPr>
            <w:r w:rsidRPr="00E97CFF">
              <w:rPr>
                <w:sz w:val="24"/>
                <w:szCs w:val="24"/>
                <w:shd w:val="clear" w:color="auto" w:fill="F7FAFF"/>
              </w:rPr>
              <w:t>г. Екатеринбург</w:t>
            </w:r>
          </w:p>
        </w:tc>
        <w:tc>
          <w:tcPr>
            <w:tcW w:w="4111" w:type="dxa"/>
            <w:shd w:val="clear" w:color="auto" w:fill="auto"/>
          </w:tcPr>
          <w:p w:rsidR="00C13207" w:rsidRPr="00E97CFF" w:rsidRDefault="00C13207" w:rsidP="009A17A6">
            <w:pPr>
              <w:pStyle w:val="af"/>
              <w:rPr>
                <w:sz w:val="24"/>
                <w:szCs w:val="24"/>
              </w:rPr>
            </w:pPr>
            <w:r w:rsidRPr="00E97CFF">
              <w:rPr>
                <w:sz w:val="24"/>
                <w:szCs w:val="24"/>
              </w:rPr>
              <w:t>383,00 руб.</w:t>
            </w:r>
          </w:p>
        </w:tc>
      </w:tr>
      <w:tr w:rsidR="00C13207" w:rsidRPr="00E97CFF" w:rsidTr="00A96A90">
        <w:trPr>
          <w:trHeight w:val="70"/>
          <w:jc w:val="center"/>
        </w:trPr>
        <w:tc>
          <w:tcPr>
            <w:tcW w:w="4219" w:type="dxa"/>
            <w:shd w:val="clear" w:color="auto" w:fill="auto"/>
          </w:tcPr>
          <w:p w:rsidR="00C13207" w:rsidRPr="00E97CFF" w:rsidRDefault="00C13207" w:rsidP="00A96A90">
            <w:pPr>
              <w:pStyle w:val="af"/>
              <w:rPr>
                <w:sz w:val="24"/>
                <w:szCs w:val="24"/>
                <w:shd w:val="clear" w:color="auto" w:fill="F7FAFF"/>
              </w:rPr>
            </w:pPr>
            <w:r w:rsidRPr="00E97CFF">
              <w:rPr>
                <w:sz w:val="24"/>
                <w:szCs w:val="24"/>
              </w:rPr>
              <w:t xml:space="preserve">г. </w:t>
            </w:r>
            <w:r w:rsidRPr="00E97CFF">
              <w:rPr>
                <w:sz w:val="24"/>
                <w:szCs w:val="24"/>
                <w:shd w:val="clear" w:color="auto" w:fill="F7FAFF"/>
              </w:rPr>
              <w:t>Арзамас</w:t>
            </w:r>
          </w:p>
        </w:tc>
        <w:tc>
          <w:tcPr>
            <w:tcW w:w="4111" w:type="dxa"/>
            <w:shd w:val="clear" w:color="auto" w:fill="auto"/>
          </w:tcPr>
          <w:p w:rsidR="00C13207" w:rsidRPr="00E97CFF" w:rsidRDefault="00C13207" w:rsidP="00A96A90">
            <w:pPr>
              <w:pStyle w:val="af"/>
              <w:rPr>
                <w:sz w:val="24"/>
                <w:szCs w:val="24"/>
              </w:rPr>
            </w:pPr>
            <w:r w:rsidRPr="00E97CFF">
              <w:rPr>
                <w:sz w:val="24"/>
                <w:szCs w:val="24"/>
              </w:rPr>
              <w:t>460,00 руб.</w:t>
            </w:r>
          </w:p>
        </w:tc>
      </w:tr>
      <w:tr w:rsidR="0002349E" w:rsidRPr="00E97CFF" w:rsidTr="0002349E">
        <w:trPr>
          <w:jc w:val="center"/>
        </w:trPr>
        <w:tc>
          <w:tcPr>
            <w:tcW w:w="4219" w:type="dxa"/>
            <w:shd w:val="clear" w:color="auto" w:fill="auto"/>
          </w:tcPr>
          <w:p w:rsidR="0002349E" w:rsidRPr="00E97CFF" w:rsidRDefault="0002349E" w:rsidP="00934111">
            <w:pPr>
              <w:pStyle w:val="af"/>
              <w:rPr>
                <w:sz w:val="24"/>
                <w:szCs w:val="24"/>
              </w:rPr>
            </w:pPr>
            <w:r w:rsidRPr="00E97CFF">
              <w:rPr>
                <w:sz w:val="24"/>
                <w:szCs w:val="24"/>
              </w:rPr>
              <w:t>г. Керчь</w:t>
            </w:r>
          </w:p>
        </w:tc>
        <w:tc>
          <w:tcPr>
            <w:tcW w:w="4111" w:type="dxa"/>
            <w:shd w:val="clear" w:color="auto" w:fill="auto"/>
          </w:tcPr>
          <w:p w:rsidR="0002349E" w:rsidRPr="00E97CFF" w:rsidRDefault="0002349E" w:rsidP="00934111">
            <w:pPr>
              <w:pStyle w:val="af"/>
              <w:rPr>
                <w:sz w:val="24"/>
                <w:szCs w:val="24"/>
              </w:rPr>
            </w:pPr>
            <w:r w:rsidRPr="00E97CFF">
              <w:rPr>
                <w:sz w:val="24"/>
                <w:szCs w:val="24"/>
              </w:rPr>
              <w:t>390,00 – 700,00 руб.</w:t>
            </w:r>
          </w:p>
        </w:tc>
      </w:tr>
    </w:tbl>
    <w:p w:rsidR="00BD3A1C" w:rsidRPr="00E97CFF" w:rsidRDefault="00BD3A1C" w:rsidP="00086DF1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97CFF">
        <w:rPr>
          <w:sz w:val="26"/>
          <w:szCs w:val="26"/>
        </w:rPr>
        <w:t>Краткое описание содержания предла</w:t>
      </w:r>
      <w:r w:rsidR="002A590A">
        <w:rPr>
          <w:sz w:val="26"/>
          <w:szCs w:val="26"/>
        </w:rPr>
        <w:t>гаемого правового регулирования.</w:t>
      </w:r>
    </w:p>
    <w:p w:rsidR="004441B0" w:rsidRPr="00E97CFF" w:rsidRDefault="004441B0" w:rsidP="004441B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97CFF">
        <w:rPr>
          <w:sz w:val="26"/>
          <w:szCs w:val="26"/>
          <w:lang w:eastAsia="en-US"/>
        </w:rPr>
        <w:t xml:space="preserve">Проектом акта определена Методика расчета цены права на заключение договора </w:t>
      </w:r>
      <w:r w:rsidR="006D420B">
        <w:rPr>
          <w:sz w:val="26"/>
          <w:szCs w:val="26"/>
          <w:lang w:eastAsia="en-US"/>
        </w:rPr>
        <w:br/>
      </w:r>
      <w:r w:rsidRPr="00E97CFF">
        <w:rPr>
          <w:sz w:val="26"/>
          <w:szCs w:val="26"/>
          <w:lang w:eastAsia="en-US"/>
        </w:rPr>
        <w:t xml:space="preserve">на размещение нестационарного торгового объекта, в том числе расчета начальной цены права на заключение договора на размещение нестационарного торгового объекта при подготовке условий проведения аукциона на право заключения договора на размещение нестационарного торгового объекта. </w:t>
      </w:r>
      <w:r w:rsidRPr="00E97CFF">
        <w:rPr>
          <w:sz w:val="26"/>
          <w:szCs w:val="26"/>
        </w:rPr>
        <w:t xml:space="preserve">Расчет начальной цены произведен на основании утвержденной средней кадастровой стоимости земельного участка, умноженной </w:t>
      </w:r>
      <w:r w:rsidR="006D420B">
        <w:rPr>
          <w:sz w:val="26"/>
          <w:szCs w:val="26"/>
        </w:rPr>
        <w:br/>
      </w:r>
      <w:r w:rsidRPr="00E97CFF">
        <w:rPr>
          <w:sz w:val="26"/>
          <w:szCs w:val="26"/>
        </w:rPr>
        <w:t>на площадь земельного участка (кв.м.), с применением коэффициентов, которые учитывают специализацию нестационарных торговых объектов и территориальное расположение нестационарного объекта.</w:t>
      </w:r>
    </w:p>
    <w:p w:rsidR="00A977F4" w:rsidRPr="00E97CFF" w:rsidRDefault="00A977F4" w:rsidP="0045611D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97CFF">
        <w:rPr>
          <w:sz w:val="26"/>
          <w:szCs w:val="26"/>
        </w:rPr>
        <w:t xml:space="preserve">Социальные группы, заинтересованные в устранении проблемы, </w:t>
      </w:r>
      <w:r w:rsidR="006D420B">
        <w:rPr>
          <w:sz w:val="26"/>
          <w:szCs w:val="26"/>
        </w:rPr>
        <w:br/>
      </w:r>
      <w:r w:rsidRPr="00E97CFF">
        <w:rPr>
          <w:sz w:val="26"/>
          <w:szCs w:val="26"/>
        </w:rPr>
        <w:t>их количественная оценка:</w:t>
      </w: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854"/>
        <w:gridCol w:w="2585"/>
      </w:tblGrid>
      <w:tr w:rsidR="00717CE3" w:rsidRPr="00E97CFF" w:rsidTr="00717CE3">
        <w:trPr>
          <w:trHeight w:val="919"/>
          <w:jc w:val="center"/>
        </w:trPr>
        <w:tc>
          <w:tcPr>
            <w:tcW w:w="3794" w:type="dxa"/>
          </w:tcPr>
          <w:p w:rsidR="00717CE3" w:rsidRPr="00E97CFF" w:rsidRDefault="00717CE3" w:rsidP="00934111">
            <w:pPr>
              <w:jc w:val="center"/>
            </w:pPr>
            <w:r w:rsidRPr="00E97CFF">
              <w:t>Социальные группы, заинтересованные в устранении проблемы</w:t>
            </w:r>
          </w:p>
        </w:tc>
        <w:tc>
          <w:tcPr>
            <w:tcW w:w="2854" w:type="dxa"/>
          </w:tcPr>
          <w:p w:rsidR="00717CE3" w:rsidRPr="00E97CFF" w:rsidRDefault="00717CE3" w:rsidP="00934111">
            <w:pPr>
              <w:jc w:val="center"/>
            </w:pPr>
            <w:r w:rsidRPr="00E97CFF">
              <w:t>Оценка количества субъектов</w:t>
            </w:r>
          </w:p>
        </w:tc>
        <w:tc>
          <w:tcPr>
            <w:tcW w:w="2585" w:type="dxa"/>
          </w:tcPr>
          <w:p w:rsidR="00717CE3" w:rsidRPr="00E97CFF" w:rsidRDefault="00717CE3" w:rsidP="00934111">
            <w:pPr>
              <w:jc w:val="center"/>
            </w:pPr>
            <w:r w:rsidRPr="00E97CFF">
              <w:t>Источник данных</w:t>
            </w:r>
          </w:p>
        </w:tc>
      </w:tr>
      <w:tr w:rsidR="00717CE3" w:rsidRPr="00E97CFF" w:rsidTr="00717CE3">
        <w:trPr>
          <w:jc w:val="center"/>
        </w:trPr>
        <w:tc>
          <w:tcPr>
            <w:tcW w:w="3794" w:type="dxa"/>
          </w:tcPr>
          <w:p w:rsidR="00717CE3" w:rsidRPr="00E97CFF" w:rsidRDefault="00717CE3" w:rsidP="00934111">
            <w:pPr>
              <w:pBdr>
                <w:top w:val="single" w:sz="4" w:space="1" w:color="auto"/>
              </w:pBdr>
              <w:jc w:val="both"/>
            </w:pPr>
            <w:r w:rsidRPr="00E97CFF">
              <w:t>Отсутствуют</w:t>
            </w:r>
          </w:p>
        </w:tc>
        <w:tc>
          <w:tcPr>
            <w:tcW w:w="2854" w:type="dxa"/>
          </w:tcPr>
          <w:p w:rsidR="00717CE3" w:rsidRPr="00E97CFF" w:rsidRDefault="00D70BC2" w:rsidP="00934111">
            <w:pPr>
              <w:jc w:val="center"/>
            </w:pPr>
            <w:r w:rsidRPr="00E97CFF">
              <w:t>---</w:t>
            </w:r>
          </w:p>
        </w:tc>
        <w:tc>
          <w:tcPr>
            <w:tcW w:w="2585" w:type="dxa"/>
          </w:tcPr>
          <w:p w:rsidR="00717CE3" w:rsidRPr="00E97CFF" w:rsidRDefault="00D70BC2" w:rsidP="00934111">
            <w:pPr>
              <w:jc w:val="center"/>
            </w:pPr>
            <w:r w:rsidRPr="00E97CFF">
              <w:t>---</w:t>
            </w:r>
          </w:p>
        </w:tc>
      </w:tr>
    </w:tbl>
    <w:p w:rsidR="006F6FA6" w:rsidRPr="00E97CFF" w:rsidRDefault="006F6FA6" w:rsidP="003D1A1B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97CFF">
        <w:rPr>
          <w:sz w:val="26"/>
          <w:szCs w:val="26"/>
        </w:rPr>
        <w:t xml:space="preserve">Причины невозможности решения проблемы участниками соответствующих отношений самостоятельно, без вмешательства </w:t>
      </w:r>
      <w:r w:rsidR="00E359B7" w:rsidRPr="00E97CFF">
        <w:rPr>
          <w:sz w:val="26"/>
          <w:szCs w:val="26"/>
        </w:rPr>
        <w:t>органа местного самоуправления</w:t>
      </w:r>
      <w:r w:rsidR="002A590A">
        <w:rPr>
          <w:sz w:val="26"/>
          <w:szCs w:val="26"/>
        </w:rPr>
        <w:t>.</w:t>
      </w:r>
    </w:p>
    <w:p w:rsidR="00ED3B34" w:rsidRPr="00E97CFF" w:rsidRDefault="003D1A1B" w:rsidP="00ED3B34">
      <w:pPr>
        <w:ind w:firstLine="709"/>
        <w:jc w:val="both"/>
        <w:rPr>
          <w:sz w:val="26"/>
          <w:szCs w:val="26"/>
        </w:rPr>
      </w:pPr>
      <w:r w:rsidRPr="00E97CFF">
        <w:rPr>
          <w:sz w:val="26"/>
          <w:szCs w:val="26"/>
        </w:rPr>
        <w:t>Решение указанных проблем относится к компетенции органов местного самоуправления.</w:t>
      </w:r>
    </w:p>
    <w:p w:rsidR="00D469A7" w:rsidRPr="00E97CFF" w:rsidRDefault="00D469A7" w:rsidP="002B248E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97CFF">
        <w:rPr>
          <w:sz w:val="26"/>
          <w:szCs w:val="26"/>
        </w:rPr>
        <w:t>Дополнительных расходов из бюджета</w:t>
      </w:r>
      <w:r w:rsidR="00565B63" w:rsidRPr="00E97CFF">
        <w:rPr>
          <w:sz w:val="26"/>
          <w:szCs w:val="26"/>
        </w:rPr>
        <w:t xml:space="preserve"> МО "Городской округ "Город Нарьян-Мар"</w:t>
      </w:r>
      <w:r w:rsidRPr="00E97CFF">
        <w:rPr>
          <w:sz w:val="26"/>
          <w:szCs w:val="26"/>
        </w:rPr>
        <w:t xml:space="preserve"> при реализации предлагаемого нормативного правового акта не потребуется.</w:t>
      </w:r>
    </w:p>
    <w:p w:rsidR="00491C33" w:rsidRPr="00E97CFF" w:rsidRDefault="0051116E" w:rsidP="00DF06B9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97CFF">
        <w:rPr>
          <w:sz w:val="26"/>
          <w:szCs w:val="26"/>
        </w:rPr>
        <w:t xml:space="preserve">В период проведения публичных консультаций в адрес Администрации </w:t>
      </w:r>
      <w:r w:rsidR="006D420B">
        <w:rPr>
          <w:sz w:val="26"/>
          <w:szCs w:val="26"/>
        </w:rPr>
        <w:br/>
      </w:r>
      <w:r w:rsidRPr="00E97CFF">
        <w:rPr>
          <w:sz w:val="26"/>
          <w:szCs w:val="26"/>
        </w:rPr>
        <w:t>МО "Городской округ "Город Нарьян-Мар" поступил</w:t>
      </w:r>
      <w:r w:rsidR="0042557F" w:rsidRPr="00E97CFF">
        <w:rPr>
          <w:sz w:val="26"/>
          <w:szCs w:val="26"/>
        </w:rPr>
        <w:t>о</w:t>
      </w:r>
      <w:r w:rsidRPr="00E97CFF">
        <w:rPr>
          <w:sz w:val="26"/>
          <w:szCs w:val="26"/>
        </w:rPr>
        <w:t xml:space="preserve"> </w:t>
      </w:r>
      <w:r w:rsidR="00A5195C" w:rsidRPr="00E97CFF">
        <w:rPr>
          <w:sz w:val="26"/>
          <w:szCs w:val="26"/>
        </w:rPr>
        <w:t>два</w:t>
      </w:r>
      <w:r w:rsidR="00E81C5D" w:rsidRPr="00E97CFF">
        <w:rPr>
          <w:sz w:val="26"/>
          <w:szCs w:val="26"/>
        </w:rPr>
        <w:t xml:space="preserve"> </w:t>
      </w:r>
      <w:r w:rsidR="004818A0" w:rsidRPr="00E97CFF">
        <w:rPr>
          <w:sz w:val="26"/>
          <w:szCs w:val="26"/>
        </w:rPr>
        <w:t>отзыв</w:t>
      </w:r>
      <w:r w:rsidR="0042557F" w:rsidRPr="00E97CFF">
        <w:rPr>
          <w:sz w:val="26"/>
          <w:szCs w:val="26"/>
        </w:rPr>
        <w:t>а</w:t>
      </w:r>
      <w:r w:rsidRPr="00E97CFF">
        <w:rPr>
          <w:sz w:val="26"/>
          <w:szCs w:val="26"/>
        </w:rPr>
        <w:t xml:space="preserve"> по проекту </w:t>
      </w:r>
      <w:r w:rsidR="009A0C51" w:rsidRPr="00E97CFF">
        <w:rPr>
          <w:sz w:val="26"/>
          <w:szCs w:val="26"/>
        </w:rPr>
        <w:t>акта</w:t>
      </w:r>
      <w:r w:rsidR="00A5195C" w:rsidRPr="00E97CFF">
        <w:rPr>
          <w:sz w:val="26"/>
          <w:szCs w:val="26"/>
        </w:rPr>
        <w:t xml:space="preserve"> – </w:t>
      </w:r>
      <w:r w:rsidR="006D420B">
        <w:rPr>
          <w:sz w:val="26"/>
          <w:szCs w:val="26"/>
        </w:rPr>
        <w:br/>
      </w:r>
      <w:r w:rsidR="00E81C5D" w:rsidRPr="00E97CFF">
        <w:rPr>
          <w:sz w:val="26"/>
          <w:szCs w:val="26"/>
        </w:rPr>
        <w:t xml:space="preserve">от </w:t>
      </w:r>
      <w:r w:rsidR="005A7CCB" w:rsidRPr="00E97CFF">
        <w:rPr>
          <w:bCs/>
          <w:sz w:val="26"/>
          <w:szCs w:val="26"/>
        </w:rPr>
        <w:t>Департамента финансов и эконом</w:t>
      </w:r>
      <w:r w:rsidR="00A5195C" w:rsidRPr="00E97CFF">
        <w:rPr>
          <w:bCs/>
          <w:sz w:val="26"/>
          <w:szCs w:val="26"/>
        </w:rPr>
        <w:t xml:space="preserve">ики Ненецкого автономного округа </w:t>
      </w:r>
      <w:r w:rsidR="00776C29" w:rsidRPr="00E97CFF">
        <w:rPr>
          <w:bCs/>
          <w:sz w:val="26"/>
          <w:szCs w:val="26"/>
        </w:rPr>
        <w:t>и от АО "</w:t>
      </w:r>
      <w:r w:rsidR="00A5195C" w:rsidRPr="00E97CFF">
        <w:rPr>
          <w:bCs/>
          <w:sz w:val="26"/>
          <w:szCs w:val="26"/>
        </w:rPr>
        <w:t>Центр развития бизнеса НАО"</w:t>
      </w:r>
      <w:r w:rsidRPr="00E97CFF">
        <w:rPr>
          <w:sz w:val="26"/>
          <w:szCs w:val="26"/>
        </w:rPr>
        <w:t>.</w:t>
      </w:r>
    </w:p>
    <w:p w:rsidR="004C68EB" w:rsidRDefault="001C0697" w:rsidP="006D20F1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E97CFF">
        <w:rPr>
          <w:sz w:val="26"/>
          <w:szCs w:val="26"/>
        </w:rPr>
        <w:t xml:space="preserve">В </w:t>
      </w:r>
      <w:r w:rsidR="00776C29" w:rsidRPr="00E97CFF">
        <w:rPr>
          <w:sz w:val="26"/>
          <w:szCs w:val="26"/>
        </w:rPr>
        <w:t>отзыв</w:t>
      </w:r>
      <w:r w:rsidR="00EA4B59" w:rsidRPr="00E97CFF">
        <w:rPr>
          <w:sz w:val="26"/>
          <w:szCs w:val="26"/>
        </w:rPr>
        <w:t xml:space="preserve">ах </w:t>
      </w:r>
      <w:r w:rsidR="00776C29" w:rsidRPr="00E97CFF">
        <w:rPr>
          <w:sz w:val="26"/>
          <w:szCs w:val="26"/>
        </w:rPr>
        <w:t xml:space="preserve">разработчику проекта акта рекомендовано учесть </w:t>
      </w:r>
      <w:r w:rsidRPr="00E97CFF">
        <w:rPr>
          <w:sz w:val="26"/>
          <w:szCs w:val="26"/>
        </w:rPr>
        <w:t>пре</w:t>
      </w:r>
      <w:r w:rsidR="00F213E2" w:rsidRPr="00E97CFF">
        <w:rPr>
          <w:sz w:val="26"/>
          <w:szCs w:val="26"/>
        </w:rPr>
        <w:t>дложения</w:t>
      </w:r>
      <w:r w:rsidR="00326F40" w:rsidRPr="00E97CFF">
        <w:rPr>
          <w:sz w:val="26"/>
          <w:szCs w:val="26"/>
        </w:rPr>
        <w:t>:</w:t>
      </w:r>
      <w:r w:rsidR="00491C33" w:rsidRPr="00E97CFF">
        <w:rPr>
          <w:sz w:val="26"/>
          <w:szCs w:val="26"/>
        </w:rPr>
        <w:t xml:space="preserve"> </w:t>
      </w:r>
      <w:r w:rsidR="006D420B">
        <w:rPr>
          <w:sz w:val="26"/>
          <w:szCs w:val="26"/>
        </w:rPr>
        <w:br/>
      </w:r>
      <w:r w:rsidRPr="00E97CFF">
        <w:rPr>
          <w:sz w:val="26"/>
          <w:szCs w:val="26"/>
        </w:rPr>
        <w:t xml:space="preserve">о </w:t>
      </w:r>
      <w:r w:rsidR="00BB6427" w:rsidRPr="00E97CFF">
        <w:rPr>
          <w:sz w:val="26"/>
          <w:szCs w:val="26"/>
        </w:rPr>
        <w:t>расширении и детализации специализаций нестационарных торговых объектов</w:t>
      </w:r>
      <w:r w:rsidR="00326F40" w:rsidRPr="00E97CFF">
        <w:rPr>
          <w:sz w:val="26"/>
          <w:szCs w:val="26"/>
        </w:rPr>
        <w:t>;</w:t>
      </w:r>
      <w:r w:rsidR="004C68EB" w:rsidRPr="00E97CFF">
        <w:rPr>
          <w:sz w:val="26"/>
          <w:szCs w:val="26"/>
        </w:rPr>
        <w:t xml:space="preserve"> </w:t>
      </w:r>
      <w:r w:rsidR="006D420B">
        <w:rPr>
          <w:sz w:val="26"/>
          <w:szCs w:val="26"/>
        </w:rPr>
        <w:br/>
      </w:r>
      <w:r w:rsidR="00326F40" w:rsidRPr="00E97CFF">
        <w:rPr>
          <w:sz w:val="26"/>
          <w:szCs w:val="26"/>
        </w:rPr>
        <w:t xml:space="preserve">об </w:t>
      </w:r>
      <w:r w:rsidR="004C68EB" w:rsidRPr="00E97CFF">
        <w:rPr>
          <w:sz w:val="26"/>
          <w:szCs w:val="26"/>
        </w:rPr>
        <w:t>уменьшен</w:t>
      </w:r>
      <w:r w:rsidR="00326F40" w:rsidRPr="00E97CFF">
        <w:rPr>
          <w:sz w:val="26"/>
          <w:szCs w:val="26"/>
        </w:rPr>
        <w:t xml:space="preserve">ии </w:t>
      </w:r>
      <w:r w:rsidR="004C68EB" w:rsidRPr="00E97CFF">
        <w:rPr>
          <w:sz w:val="26"/>
          <w:szCs w:val="26"/>
        </w:rPr>
        <w:t>значени</w:t>
      </w:r>
      <w:r w:rsidR="00326F40" w:rsidRPr="00E97CFF">
        <w:rPr>
          <w:sz w:val="26"/>
          <w:szCs w:val="26"/>
        </w:rPr>
        <w:t>я</w:t>
      </w:r>
      <w:r w:rsidR="004C68EB" w:rsidRPr="00E97CFF">
        <w:rPr>
          <w:sz w:val="26"/>
          <w:szCs w:val="26"/>
        </w:rPr>
        <w:t xml:space="preserve"> коэффициента, учитывающего специализацию нестационарного торгового объекта (Кс), при продаже смешанных товаров (продовольственных </w:t>
      </w:r>
      <w:r w:rsidR="006D420B">
        <w:rPr>
          <w:sz w:val="26"/>
          <w:szCs w:val="26"/>
        </w:rPr>
        <w:br/>
      </w:r>
      <w:r w:rsidR="004C68EB" w:rsidRPr="00E97CFF">
        <w:rPr>
          <w:sz w:val="26"/>
          <w:szCs w:val="26"/>
        </w:rPr>
        <w:t xml:space="preserve">и непродовольственных) </w:t>
      </w:r>
      <w:r w:rsidR="004C68EB" w:rsidRPr="00E97CFF">
        <w:rPr>
          <w:i/>
          <w:sz w:val="26"/>
          <w:szCs w:val="26"/>
        </w:rPr>
        <w:t>(0,8 → 0,7)</w:t>
      </w:r>
      <w:r w:rsidR="00326F40" w:rsidRPr="00E97CFF">
        <w:rPr>
          <w:sz w:val="26"/>
          <w:szCs w:val="26"/>
        </w:rPr>
        <w:t>;</w:t>
      </w:r>
      <w:r w:rsidR="00A47FE5" w:rsidRPr="00E97CFF">
        <w:rPr>
          <w:sz w:val="26"/>
          <w:szCs w:val="26"/>
        </w:rPr>
        <w:t xml:space="preserve"> о включении улицы Октябрьская в</w:t>
      </w:r>
      <w:r w:rsidR="00C0088D" w:rsidRPr="00E97CFF">
        <w:rPr>
          <w:sz w:val="26"/>
          <w:szCs w:val="26"/>
        </w:rPr>
        <w:t xml:space="preserve"> перечень улиц, относящихся к центральной части города.</w:t>
      </w:r>
    </w:p>
    <w:p w:rsidR="00EE5180" w:rsidRDefault="00EE5180" w:rsidP="006D20F1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EE5180" w:rsidRPr="00E97CFF" w:rsidRDefault="00EE5180" w:rsidP="006D20F1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9A0C51" w:rsidRPr="00E97CFF" w:rsidRDefault="004C68EB" w:rsidP="006D20F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97CFF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В сводке предложений </w:t>
      </w:r>
      <w:r w:rsidR="006D20F1" w:rsidRPr="00E97CFF">
        <w:rPr>
          <w:rFonts w:ascii="Times New Roman" w:hAnsi="Times New Roman" w:cs="Times New Roman"/>
          <w:b w:val="0"/>
          <w:sz w:val="26"/>
          <w:szCs w:val="26"/>
        </w:rPr>
        <w:t xml:space="preserve">к проекту постановления Администрации МО "Городской округ "Город Нарьян-Мар" "Об утверждении </w:t>
      </w:r>
      <w:hyperlink r:id="rId11" w:history="1">
        <w:r w:rsidR="006D20F1" w:rsidRPr="00E97CFF">
          <w:rPr>
            <w:rFonts w:ascii="Times New Roman" w:eastAsiaTheme="minorHAnsi" w:hAnsi="Times New Roman" w:cs="Times New Roman"/>
            <w:b w:val="0"/>
            <w:sz w:val="26"/>
            <w:szCs w:val="26"/>
            <w:lang w:eastAsia="en-US"/>
          </w:rPr>
          <w:t>Методик</w:t>
        </w:r>
      </w:hyperlink>
      <w:r w:rsidR="006D20F1" w:rsidRPr="00E97CF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 расчета начальной цены права на заключение договора на размещение нестационарного торгового объекта</w:t>
      </w:r>
      <w:r w:rsidR="006D20F1" w:rsidRPr="00E97CFF">
        <w:rPr>
          <w:rFonts w:ascii="Times New Roman" w:hAnsi="Times New Roman" w:cs="Times New Roman"/>
          <w:b w:val="0"/>
          <w:sz w:val="26"/>
          <w:szCs w:val="26"/>
        </w:rPr>
        <w:t xml:space="preserve">" </w:t>
      </w:r>
      <w:r w:rsidRPr="00E97CFF">
        <w:rPr>
          <w:rFonts w:ascii="Times New Roman" w:hAnsi="Times New Roman" w:cs="Times New Roman"/>
          <w:b w:val="0"/>
          <w:sz w:val="26"/>
          <w:szCs w:val="26"/>
        </w:rPr>
        <w:t xml:space="preserve">разработчиком акта </w:t>
      </w:r>
      <w:r w:rsidR="006D20F1" w:rsidRPr="00E97CFF">
        <w:rPr>
          <w:rFonts w:ascii="Times New Roman" w:hAnsi="Times New Roman" w:cs="Times New Roman"/>
          <w:b w:val="0"/>
          <w:sz w:val="26"/>
          <w:szCs w:val="26"/>
        </w:rPr>
        <w:t>отражена позиция</w:t>
      </w:r>
      <w:r w:rsidRPr="00E97CF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E6BF4" w:rsidRPr="00E97CFF">
        <w:rPr>
          <w:rFonts w:ascii="Times New Roman" w:hAnsi="Times New Roman" w:cs="Times New Roman"/>
          <w:b w:val="0"/>
          <w:sz w:val="26"/>
          <w:szCs w:val="26"/>
        </w:rPr>
        <w:t>регулирующего органа.</w:t>
      </w:r>
    </w:p>
    <w:p w:rsidR="00CD0175" w:rsidRPr="00E97CFF" w:rsidRDefault="00C313A1" w:rsidP="00EF35DA">
      <w:pPr>
        <w:shd w:val="clear" w:color="auto" w:fill="FFFFFF"/>
        <w:ind w:firstLine="709"/>
        <w:jc w:val="both"/>
        <w:rPr>
          <w:sz w:val="26"/>
          <w:szCs w:val="26"/>
        </w:rPr>
      </w:pPr>
      <w:r w:rsidRPr="00E97CFF">
        <w:rPr>
          <w:sz w:val="26"/>
          <w:szCs w:val="26"/>
        </w:rPr>
        <w:t>1</w:t>
      </w:r>
      <w:r w:rsidR="004B3515" w:rsidRPr="00E97CFF">
        <w:rPr>
          <w:sz w:val="26"/>
          <w:szCs w:val="26"/>
        </w:rPr>
        <w:t>2</w:t>
      </w:r>
      <w:r w:rsidRPr="00E97CFF">
        <w:rPr>
          <w:sz w:val="26"/>
          <w:szCs w:val="26"/>
        </w:rPr>
        <w:t xml:space="preserve">. </w:t>
      </w:r>
      <w:r w:rsidR="002B401E" w:rsidRPr="00E97CFF">
        <w:rPr>
          <w:sz w:val="26"/>
          <w:szCs w:val="26"/>
        </w:rPr>
        <w:t>На основании проведенной оценки регулирующего воздействия проекта нормативного правового акта с учетом информации, представленной в сводно</w:t>
      </w:r>
      <w:r w:rsidR="00473C7B" w:rsidRPr="00E97CFF">
        <w:rPr>
          <w:sz w:val="26"/>
          <w:szCs w:val="26"/>
        </w:rPr>
        <w:t>м</w:t>
      </w:r>
      <w:r w:rsidR="002B401E" w:rsidRPr="00E97CFF">
        <w:rPr>
          <w:sz w:val="26"/>
          <w:szCs w:val="26"/>
        </w:rPr>
        <w:t xml:space="preserve"> отчет</w:t>
      </w:r>
      <w:r w:rsidR="00473C7B" w:rsidRPr="00E97CFF">
        <w:rPr>
          <w:sz w:val="26"/>
          <w:szCs w:val="26"/>
        </w:rPr>
        <w:t>е</w:t>
      </w:r>
      <w:r w:rsidR="002A590A">
        <w:rPr>
          <w:sz w:val="26"/>
          <w:szCs w:val="26"/>
        </w:rPr>
        <w:t>,</w:t>
      </w:r>
      <w:r w:rsidR="002B401E" w:rsidRPr="00E97CFF">
        <w:rPr>
          <w:sz w:val="26"/>
          <w:szCs w:val="26"/>
        </w:rPr>
        <w:t xml:space="preserve"> </w:t>
      </w:r>
      <w:r w:rsidR="006D420B">
        <w:rPr>
          <w:sz w:val="26"/>
          <w:szCs w:val="26"/>
        </w:rPr>
        <w:br/>
      </w:r>
      <w:r w:rsidR="00FD7252" w:rsidRPr="00E97CFF">
        <w:rPr>
          <w:sz w:val="26"/>
          <w:szCs w:val="26"/>
        </w:rPr>
        <w:t>и проведенных публичных консультаци</w:t>
      </w:r>
      <w:r w:rsidR="00C7540E" w:rsidRPr="00E97CFF">
        <w:rPr>
          <w:sz w:val="26"/>
          <w:szCs w:val="26"/>
        </w:rPr>
        <w:t>ях</w:t>
      </w:r>
      <w:r w:rsidR="00CE67D0" w:rsidRPr="00E97CFF">
        <w:rPr>
          <w:sz w:val="26"/>
          <w:szCs w:val="26"/>
        </w:rPr>
        <w:t>,</w:t>
      </w:r>
      <w:r w:rsidR="002B401E" w:rsidRPr="00E97CFF">
        <w:rPr>
          <w:sz w:val="26"/>
          <w:szCs w:val="26"/>
        </w:rPr>
        <w:t xml:space="preserve"> сделаны следующие выводы</w:t>
      </w:r>
      <w:r w:rsidR="00D8079C" w:rsidRPr="00E97CFF">
        <w:rPr>
          <w:sz w:val="26"/>
          <w:szCs w:val="26"/>
        </w:rPr>
        <w:t xml:space="preserve"> </w:t>
      </w:r>
      <w:r w:rsidR="00C141F5" w:rsidRPr="00E97CFF">
        <w:rPr>
          <w:sz w:val="26"/>
          <w:szCs w:val="26"/>
        </w:rPr>
        <w:t>(</w:t>
      </w:r>
      <w:r w:rsidR="00D8079C" w:rsidRPr="00E97CFF">
        <w:rPr>
          <w:sz w:val="26"/>
          <w:szCs w:val="26"/>
        </w:rPr>
        <w:t>предложения</w:t>
      </w:r>
      <w:r w:rsidR="00C141F5" w:rsidRPr="00E97CFF">
        <w:rPr>
          <w:sz w:val="26"/>
          <w:szCs w:val="26"/>
        </w:rPr>
        <w:t>)</w:t>
      </w:r>
      <w:r w:rsidR="002B401E" w:rsidRPr="00E97CFF">
        <w:rPr>
          <w:sz w:val="26"/>
          <w:szCs w:val="26"/>
        </w:rPr>
        <w:t>:</w:t>
      </w:r>
    </w:p>
    <w:p w:rsidR="00003C37" w:rsidRPr="00E97CFF" w:rsidRDefault="00003C37" w:rsidP="00003C37">
      <w:pPr>
        <w:pStyle w:val="ConsPlusNonforma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CFF">
        <w:rPr>
          <w:rFonts w:ascii="Times New Roman" w:hAnsi="Times New Roman" w:cs="Times New Roman"/>
          <w:sz w:val="26"/>
          <w:szCs w:val="26"/>
        </w:rPr>
        <w:t xml:space="preserve">проект акта разработан в целях обоснованного (реалистичного) определения начальной максимальной цены права на заключение договора на размещение нестационарного торгового объекта, что будет способствовать увеличению поступлений </w:t>
      </w:r>
      <w:r w:rsidR="006D420B">
        <w:rPr>
          <w:rFonts w:ascii="Times New Roman" w:hAnsi="Times New Roman" w:cs="Times New Roman"/>
          <w:sz w:val="26"/>
          <w:szCs w:val="26"/>
        </w:rPr>
        <w:br/>
      </w:r>
      <w:r w:rsidRPr="00E97CFF">
        <w:rPr>
          <w:rFonts w:ascii="Times New Roman" w:hAnsi="Times New Roman" w:cs="Times New Roman"/>
          <w:sz w:val="26"/>
          <w:szCs w:val="26"/>
        </w:rPr>
        <w:t xml:space="preserve">в </w:t>
      </w:r>
      <w:r w:rsidR="002A590A" w:rsidRPr="00E97CFF">
        <w:rPr>
          <w:rFonts w:ascii="Times New Roman" w:hAnsi="Times New Roman" w:cs="Times New Roman"/>
          <w:sz w:val="26"/>
          <w:szCs w:val="26"/>
        </w:rPr>
        <w:t>бюджета МО "Городской округ "Город Нарьян-Мар"</w:t>
      </w:r>
      <w:r w:rsidR="00664781" w:rsidRPr="00E97CFF">
        <w:rPr>
          <w:rFonts w:ascii="Times New Roman" w:hAnsi="Times New Roman" w:cs="Times New Roman"/>
          <w:sz w:val="26"/>
          <w:szCs w:val="26"/>
        </w:rPr>
        <w:t>.</w:t>
      </w:r>
    </w:p>
    <w:p w:rsidR="00565B63" w:rsidRPr="00E97CFF" w:rsidRDefault="00003C37" w:rsidP="00003C37">
      <w:pPr>
        <w:pStyle w:val="ConsPlusNonforma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7CFF">
        <w:rPr>
          <w:rFonts w:ascii="Times New Roman" w:hAnsi="Times New Roman" w:cs="Times New Roman"/>
          <w:sz w:val="26"/>
          <w:szCs w:val="26"/>
        </w:rPr>
        <w:t>п</w:t>
      </w:r>
      <w:r w:rsidR="00565B63" w:rsidRPr="00E97CFF">
        <w:rPr>
          <w:rFonts w:ascii="Times New Roman" w:hAnsi="Times New Roman" w:cs="Times New Roman"/>
          <w:sz w:val="26"/>
          <w:szCs w:val="26"/>
        </w:rPr>
        <w:t xml:space="preserve">о итогам оценки регулирующего воздействия </w:t>
      </w:r>
      <w:r w:rsidR="002A590A">
        <w:rPr>
          <w:rFonts w:ascii="Times New Roman" w:hAnsi="Times New Roman" w:cs="Times New Roman"/>
          <w:sz w:val="26"/>
          <w:szCs w:val="26"/>
        </w:rPr>
        <w:t>можно сделать вывод</w:t>
      </w:r>
      <w:r w:rsidR="00565B63" w:rsidRPr="00E97CFF">
        <w:rPr>
          <w:rFonts w:ascii="Times New Roman" w:hAnsi="Times New Roman" w:cs="Times New Roman"/>
          <w:sz w:val="26"/>
          <w:szCs w:val="26"/>
        </w:rPr>
        <w:t xml:space="preserve">, что проект акта не содержит положений, вводящих избыточные обязанности, запреты и ограничения для субъектов </w:t>
      </w:r>
      <w:r w:rsidR="009B2129" w:rsidRPr="00E97CFF">
        <w:rPr>
          <w:rFonts w:ascii="Times New Roman" w:hAnsi="Times New Roman" w:cs="Times New Roman"/>
          <w:sz w:val="26"/>
          <w:szCs w:val="26"/>
        </w:rPr>
        <w:t xml:space="preserve">малого и среднего </w:t>
      </w:r>
      <w:r w:rsidR="00565B63" w:rsidRPr="00E97CFF">
        <w:rPr>
          <w:rFonts w:ascii="Times New Roman" w:hAnsi="Times New Roman" w:cs="Times New Roman"/>
          <w:sz w:val="26"/>
          <w:szCs w:val="26"/>
        </w:rPr>
        <w:t>предприниматель</w:t>
      </w:r>
      <w:r w:rsidR="009B2129" w:rsidRPr="00E97CFF">
        <w:rPr>
          <w:rFonts w:ascii="Times New Roman" w:hAnsi="Times New Roman" w:cs="Times New Roman"/>
          <w:sz w:val="26"/>
          <w:szCs w:val="26"/>
        </w:rPr>
        <w:t>ства</w:t>
      </w:r>
      <w:r w:rsidR="00565B63" w:rsidRPr="00E97CFF">
        <w:rPr>
          <w:rFonts w:ascii="Times New Roman" w:hAnsi="Times New Roman" w:cs="Times New Roman"/>
          <w:sz w:val="26"/>
          <w:szCs w:val="26"/>
        </w:rPr>
        <w:t xml:space="preserve"> или способствующих их введению, а также положений, способствующих возникновению необоснованных расходов субъектов </w:t>
      </w:r>
      <w:r w:rsidR="009B2129" w:rsidRPr="00E97CFF"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  <w:r w:rsidR="00565B63" w:rsidRPr="00E97CFF">
        <w:rPr>
          <w:rFonts w:ascii="Times New Roman" w:hAnsi="Times New Roman" w:cs="Times New Roman"/>
          <w:sz w:val="26"/>
          <w:szCs w:val="26"/>
        </w:rPr>
        <w:t xml:space="preserve"> и </w:t>
      </w:r>
      <w:r w:rsidR="002A590A">
        <w:rPr>
          <w:rFonts w:ascii="Times New Roman" w:hAnsi="Times New Roman" w:cs="Times New Roman"/>
          <w:sz w:val="26"/>
          <w:szCs w:val="26"/>
        </w:rPr>
        <w:t xml:space="preserve">расходов </w:t>
      </w:r>
      <w:r w:rsidR="00565B63" w:rsidRPr="00E97CFF">
        <w:rPr>
          <w:rFonts w:ascii="Times New Roman" w:hAnsi="Times New Roman" w:cs="Times New Roman"/>
          <w:sz w:val="26"/>
          <w:szCs w:val="26"/>
        </w:rPr>
        <w:t>из бюджета МО "Городской округ "Город Нарьян-Мар".</w:t>
      </w:r>
      <w:proofErr w:type="gramEnd"/>
    </w:p>
    <w:p w:rsidR="00C71D7B" w:rsidRDefault="00C71D7B" w:rsidP="000C2224">
      <w:pPr>
        <w:pStyle w:val="ae"/>
        <w:tabs>
          <w:tab w:val="left" w:pos="567"/>
          <w:tab w:val="left" w:pos="709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7CFF">
        <w:rPr>
          <w:rFonts w:ascii="Times New Roman" w:hAnsi="Times New Roman"/>
          <w:sz w:val="26"/>
          <w:szCs w:val="26"/>
        </w:rPr>
        <w:t>Информация об исполнителе:</w:t>
      </w:r>
    </w:p>
    <w:tbl>
      <w:tblPr>
        <w:tblStyle w:val="ab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211"/>
      </w:tblGrid>
      <w:tr w:rsidR="000C2224" w:rsidTr="000C2224">
        <w:tc>
          <w:tcPr>
            <w:tcW w:w="5353" w:type="dxa"/>
          </w:tcPr>
          <w:p w:rsidR="000C2224" w:rsidRPr="000C2224" w:rsidRDefault="000C2224" w:rsidP="000C2224">
            <w:pPr>
              <w:pStyle w:val="ae"/>
              <w:tabs>
                <w:tab w:val="left" w:pos="567"/>
                <w:tab w:val="left" w:pos="709"/>
              </w:tabs>
              <w:ind w:left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C2224">
              <w:rPr>
                <w:rFonts w:ascii="Times New Roman" w:hAnsi="Times New Roman"/>
                <w:sz w:val="26"/>
                <w:szCs w:val="26"/>
              </w:rPr>
              <w:t>Начальник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5211" w:type="dxa"/>
          </w:tcPr>
          <w:p w:rsidR="000C2224" w:rsidRDefault="000C2224" w:rsidP="000C2224">
            <w:pPr>
              <w:pStyle w:val="ae"/>
              <w:tabs>
                <w:tab w:val="left" w:pos="567"/>
                <w:tab w:val="left" w:pos="709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C2224" w:rsidRDefault="000C2224" w:rsidP="000C2224">
            <w:pPr>
              <w:pStyle w:val="ae"/>
              <w:tabs>
                <w:tab w:val="left" w:pos="567"/>
                <w:tab w:val="left" w:pos="709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C2224" w:rsidRDefault="000C2224" w:rsidP="000C2224">
            <w:pPr>
              <w:pStyle w:val="ae"/>
              <w:tabs>
                <w:tab w:val="left" w:pos="567"/>
                <w:tab w:val="left" w:pos="709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C2224" w:rsidRDefault="000C2224" w:rsidP="000C2224">
            <w:pPr>
              <w:pStyle w:val="ae"/>
              <w:tabs>
                <w:tab w:val="left" w:pos="567"/>
                <w:tab w:val="left" w:pos="709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C2224" w:rsidRDefault="000C2224" w:rsidP="000C2224">
            <w:pPr>
              <w:pStyle w:val="ae"/>
              <w:tabs>
                <w:tab w:val="left" w:pos="567"/>
                <w:tab w:val="left" w:pos="709"/>
              </w:tabs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В.С.Оленицкая</w:t>
            </w:r>
            <w:proofErr w:type="spellEnd"/>
          </w:p>
        </w:tc>
      </w:tr>
    </w:tbl>
    <w:p w:rsidR="000C2224" w:rsidRPr="00E97CFF" w:rsidRDefault="000C2224" w:rsidP="000C2224">
      <w:pPr>
        <w:pStyle w:val="ae"/>
        <w:tabs>
          <w:tab w:val="left" w:pos="567"/>
          <w:tab w:val="left" w:pos="709"/>
        </w:tabs>
        <w:ind w:left="0"/>
        <w:jc w:val="both"/>
        <w:rPr>
          <w:rFonts w:ascii="Times New Roman" w:hAnsi="Times New Roman"/>
          <w:sz w:val="26"/>
          <w:szCs w:val="26"/>
        </w:rPr>
      </w:pPr>
    </w:p>
    <w:p w:rsidR="005B1D09" w:rsidRPr="00E97CFF" w:rsidRDefault="005B1D09" w:rsidP="006B24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2D02" w:rsidRPr="00E97CFF" w:rsidRDefault="00CA2D02" w:rsidP="006B24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314" w:type="dxa"/>
        <w:tblLook w:val="0000"/>
      </w:tblPr>
      <w:tblGrid>
        <w:gridCol w:w="4786"/>
        <w:gridCol w:w="5528"/>
      </w:tblGrid>
      <w:tr w:rsidR="000B7F09" w:rsidRPr="00E97CFF" w:rsidTr="00EE5180">
        <w:tc>
          <w:tcPr>
            <w:tcW w:w="4786" w:type="dxa"/>
          </w:tcPr>
          <w:p w:rsidR="000B7F09" w:rsidRPr="00E97CFF" w:rsidRDefault="00EE5180" w:rsidP="00003C3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</w:t>
            </w:r>
            <w:r w:rsidR="00612D64" w:rsidRPr="00E97CFF">
              <w:rPr>
                <w:sz w:val="26"/>
                <w:szCs w:val="26"/>
              </w:rPr>
              <w:t xml:space="preserve"> Администрации МО "Городской округ </w:t>
            </w:r>
            <w:r w:rsidR="00062CEC" w:rsidRPr="00E97CFF">
              <w:rPr>
                <w:sz w:val="26"/>
                <w:szCs w:val="26"/>
              </w:rPr>
              <w:t>"Город Нарьян-М</w:t>
            </w:r>
            <w:r w:rsidR="00612D64" w:rsidRPr="00E97CFF">
              <w:rPr>
                <w:sz w:val="26"/>
                <w:szCs w:val="26"/>
              </w:rPr>
              <w:t>ар"</w:t>
            </w:r>
            <w:r>
              <w:rPr>
                <w:sz w:val="26"/>
                <w:szCs w:val="26"/>
              </w:rPr>
              <w:t xml:space="preserve"> по экономике и финансам</w:t>
            </w:r>
          </w:p>
        </w:tc>
        <w:tc>
          <w:tcPr>
            <w:tcW w:w="5528" w:type="dxa"/>
            <w:vAlign w:val="bottom"/>
          </w:tcPr>
          <w:p w:rsidR="00EF25C8" w:rsidRPr="00E97CFF" w:rsidRDefault="00EF25C8" w:rsidP="00CB1046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EF25C8" w:rsidRPr="00E97CFF" w:rsidRDefault="00EF25C8" w:rsidP="00CB1046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EF25C8" w:rsidRPr="00E97CFF" w:rsidRDefault="00EE5180" w:rsidP="00FE0F0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О.В.Жукова</w:t>
            </w:r>
          </w:p>
        </w:tc>
      </w:tr>
    </w:tbl>
    <w:p w:rsidR="004511CA" w:rsidRPr="00E97CFF" w:rsidRDefault="004511CA" w:rsidP="00D042F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sectPr w:rsidR="004511CA" w:rsidRPr="00E97CFF" w:rsidSect="006B2F6D">
      <w:headerReference w:type="even" r:id="rId12"/>
      <w:headerReference w:type="default" r:id="rId13"/>
      <w:headerReference w:type="first" r:id="rId14"/>
      <w:type w:val="continuous"/>
      <w:pgSz w:w="11906" w:h="16838"/>
      <w:pgMar w:top="567" w:right="567" w:bottom="567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7E2" w:rsidRDefault="004B07E2">
      <w:r>
        <w:separator/>
      </w:r>
    </w:p>
  </w:endnote>
  <w:endnote w:type="continuationSeparator" w:id="0">
    <w:p w:rsidR="004B07E2" w:rsidRDefault="004B0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7E2" w:rsidRDefault="004B07E2">
      <w:r>
        <w:separator/>
      </w:r>
    </w:p>
  </w:footnote>
  <w:footnote w:type="continuationSeparator" w:id="0">
    <w:p w:rsidR="004B07E2" w:rsidRDefault="004B0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E2" w:rsidRDefault="00DE72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07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07E2" w:rsidRDefault="004B07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E2" w:rsidRDefault="00DE72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07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0380">
      <w:rPr>
        <w:rStyle w:val="a5"/>
        <w:noProof/>
      </w:rPr>
      <w:t>2</w:t>
    </w:r>
    <w:r>
      <w:rPr>
        <w:rStyle w:val="a5"/>
      </w:rPr>
      <w:fldChar w:fldCharType="end"/>
    </w:r>
  </w:p>
  <w:p w:rsidR="004B07E2" w:rsidRDefault="004B07E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E2" w:rsidRDefault="004B07E2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B07E2" w:rsidRDefault="004B07E2">
    <w:pPr>
      <w:pStyle w:val="1"/>
      <w:tabs>
        <w:tab w:val="center" w:pos="5314"/>
      </w:tabs>
      <w:rPr>
        <w:color w:val="333333"/>
        <w:sz w:val="24"/>
        <w:szCs w:val="24"/>
      </w:rPr>
    </w:pPr>
    <w:r>
      <w:rPr>
        <w:color w:val="333333"/>
        <w:sz w:val="24"/>
        <w:szCs w:val="24"/>
      </w:rPr>
      <w:t xml:space="preserve">   </w:t>
    </w:r>
    <w:r>
      <w:rPr>
        <w:color w:val="333333"/>
        <w:sz w:val="24"/>
        <w:szCs w:val="24"/>
      </w:rPr>
      <w:tab/>
    </w:r>
    <w:r w:rsidR="00DE72D4">
      <w:rPr>
        <w:color w:val="333333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4pt;margin-top:-36pt;width:117pt;height:27pt;z-index:251657216;mso-position-horizontal-relative:text;mso-position-vertical-relative:text" filled="f" stroked="f">
          <v:textbox style="mso-next-textbox:#_x0000_s2051">
            <w:txbxContent>
              <w:p w:rsidR="004B07E2" w:rsidRDefault="004B07E2">
                <w:pPr>
                  <w:jc w:val="right"/>
                  <w:rPr>
                    <w:sz w:val="26"/>
                    <w:szCs w:val="26"/>
                  </w:rPr>
                </w:pPr>
              </w:p>
            </w:txbxContent>
          </v:textbox>
        </v:shape>
      </w:pict>
    </w:r>
    <w:r>
      <w:rPr>
        <w:color w:val="333333"/>
        <w:sz w:val="24"/>
        <w:szCs w:val="24"/>
      </w:rPr>
      <w:t xml:space="preserve"> </w:t>
    </w:r>
  </w:p>
  <w:p w:rsidR="004B07E2" w:rsidRDefault="004B07E2">
    <w:pPr>
      <w:pStyle w:val="1"/>
      <w:jc w:val="center"/>
      <w:rPr>
        <w:sz w:val="24"/>
        <w:szCs w:val="24"/>
      </w:rPr>
    </w:pPr>
  </w:p>
  <w:p w:rsidR="004B07E2" w:rsidRDefault="004B07E2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 xml:space="preserve"> Администрация</w:t>
    </w:r>
    <w:r>
      <w:rPr>
        <w:color w:val="333333"/>
        <w:sz w:val="24"/>
        <w:szCs w:val="24"/>
      </w:rPr>
      <w:t xml:space="preserve"> МО "Городской округ "Город Нарьян-Мар"</w:t>
    </w:r>
  </w:p>
  <w:p w:rsidR="004B07E2" w:rsidRDefault="004B07E2" w:rsidP="005C2204">
    <w:pPr>
      <w:jc w:val="center"/>
      <w:rPr>
        <w:color w:val="333333"/>
      </w:rPr>
    </w:pPr>
    <w:r>
      <w:rPr>
        <w:color w:val="333333"/>
      </w:rPr>
      <w:t>______________________________________________________________________</w:t>
    </w:r>
  </w:p>
  <w:p w:rsidR="004B07E2" w:rsidRDefault="004B07E2">
    <w:pPr>
      <w:jc w:val="center"/>
      <w:rPr>
        <w:color w:val="333333"/>
        <w:sz w:val="20"/>
        <w:szCs w:val="20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 xml:space="preserve">. Нарьян-Мар, ул. Ленина, д.12. тел.(818 53) 4-25-81, факс 4-99-71, </w:t>
    </w:r>
    <w:r>
      <w:rPr>
        <w:color w:val="333333"/>
        <w:sz w:val="20"/>
        <w:szCs w:val="20"/>
        <w:lang w:val="en-US"/>
      </w:rPr>
      <w:t>e</w:t>
    </w:r>
    <w:r>
      <w:rPr>
        <w:color w:val="333333"/>
        <w:sz w:val="20"/>
        <w:szCs w:val="20"/>
      </w:rPr>
      <w:t>-</w:t>
    </w:r>
    <w:r>
      <w:rPr>
        <w:color w:val="333333"/>
        <w:sz w:val="20"/>
        <w:szCs w:val="20"/>
        <w:lang w:val="en-US"/>
      </w:rPr>
      <w:t>mail</w:t>
    </w:r>
    <w:r>
      <w:rPr>
        <w:color w:val="333333"/>
        <w:sz w:val="20"/>
        <w:szCs w:val="20"/>
      </w:rPr>
      <w:t xml:space="preserve">: </w:t>
    </w:r>
    <w:r>
      <w:rPr>
        <w:color w:val="333333"/>
        <w:sz w:val="20"/>
        <w:szCs w:val="20"/>
        <w:lang w:val="en-US"/>
      </w:rPr>
      <w:t>goradm</w:t>
    </w:r>
    <w:r>
      <w:rPr>
        <w:color w:val="333333"/>
        <w:sz w:val="20"/>
        <w:szCs w:val="20"/>
      </w:rPr>
      <w:t>@</w:t>
    </w:r>
    <w:r>
      <w:rPr>
        <w:color w:val="333333"/>
        <w:sz w:val="20"/>
        <w:szCs w:val="20"/>
        <w:lang w:val="en-US"/>
      </w:rPr>
      <w:t>atnet</w:t>
    </w:r>
    <w:r>
      <w:rPr>
        <w:color w:val="333333"/>
        <w:sz w:val="20"/>
        <w:szCs w:val="20"/>
      </w:rPr>
      <w:t>.</w:t>
    </w:r>
    <w:r>
      <w:rPr>
        <w:color w:val="333333"/>
        <w:sz w:val="20"/>
        <w:szCs w:val="20"/>
        <w:lang w:val="en-US"/>
      </w:rPr>
      <w:t>ru</w:t>
    </w:r>
  </w:p>
  <w:p w:rsidR="004B07E2" w:rsidRDefault="004B07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25AF6"/>
    <w:multiLevelType w:val="hybridMultilevel"/>
    <w:tmpl w:val="45D2D5DE"/>
    <w:lvl w:ilvl="0" w:tplc="74AC82FA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511FC6"/>
    <w:multiLevelType w:val="hybridMultilevel"/>
    <w:tmpl w:val="61B6F81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E5656F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4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5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13"/>
  </w:num>
  <w:num w:numId="10">
    <w:abstractNumId w:val="16"/>
  </w:num>
  <w:num w:numId="11">
    <w:abstractNumId w:val="9"/>
  </w:num>
  <w:num w:numId="12">
    <w:abstractNumId w:val="6"/>
  </w:num>
  <w:num w:numId="13">
    <w:abstractNumId w:val="3"/>
  </w:num>
  <w:num w:numId="14">
    <w:abstractNumId w:val="12"/>
  </w:num>
  <w:num w:numId="15">
    <w:abstractNumId w:val="14"/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44A7"/>
    <w:rsid w:val="00003C37"/>
    <w:rsid w:val="000050B4"/>
    <w:rsid w:val="00006071"/>
    <w:rsid w:val="00014DD3"/>
    <w:rsid w:val="00014FD8"/>
    <w:rsid w:val="000151A9"/>
    <w:rsid w:val="00015A71"/>
    <w:rsid w:val="00015DAE"/>
    <w:rsid w:val="00015DE2"/>
    <w:rsid w:val="00016329"/>
    <w:rsid w:val="00016E90"/>
    <w:rsid w:val="000221B7"/>
    <w:rsid w:val="0002349E"/>
    <w:rsid w:val="00025F48"/>
    <w:rsid w:val="00045F22"/>
    <w:rsid w:val="0005623E"/>
    <w:rsid w:val="00057324"/>
    <w:rsid w:val="00062CEC"/>
    <w:rsid w:val="000633CE"/>
    <w:rsid w:val="00074B7F"/>
    <w:rsid w:val="00075195"/>
    <w:rsid w:val="00080708"/>
    <w:rsid w:val="0008145F"/>
    <w:rsid w:val="00086DF1"/>
    <w:rsid w:val="00092A8E"/>
    <w:rsid w:val="00092BF1"/>
    <w:rsid w:val="000A1EB6"/>
    <w:rsid w:val="000B7F09"/>
    <w:rsid w:val="000C2224"/>
    <w:rsid w:val="000C49DA"/>
    <w:rsid w:val="000D0AEF"/>
    <w:rsid w:val="000E341A"/>
    <w:rsid w:val="000E3752"/>
    <w:rsid w:val="00100301"/>
    <w:rsid w:val="0010399C"/>
    <w:rsid w:val="00106F34"/>
    <w:rsid w:val="00110812"/>
    <w:rsid w:val="00111319"/>
    <w:rsid w:val="00152F27"/>
    <w:rsid w:val="001564C6"/>
    <w:rsid w:val="001610C6"/>
    <w:rsid w:val="00161C46"/>
    <w:rsid w:val="00174ABC"/>
    <w:rsid w:val="00180DC6"/>
    <w:rsid w:val="00183324"/>
    <w:rsid w:val="001937C8"/>
    <w:rsid w:val="001944A7"/>
    <w:rsid w:val="00196273"/>
    <w:rsid w:val="001A4B52"/>
    <w:rsid w:val="001A7273"/>
    <w:rsid w:val="001A7EFC"/>
    <w:rsid w:val="001B2B14"/>
    <w:rsid w:val="001B33FE"/>
    <w:rsid w:val="001C0697"/>
    <w:rsid w:val="001C0A9E"/>
    <w:rsid w:val="001C10AF"/>
    <w:rsid w:val="001C2E76"/>
    <w:rsid w:val="001C7D60"/>
    <w:rsid w:val="001D4A81"/>
    <w:rsid w:val="001D728C"/>
    <w:rsid w:val="001E7DD5"/>
    <w:rsid w:val="001F4D1A"/>
    <w:rsid w:val="001F60E7"/>
    <w:rsid w:val="001F6F7F"/>
    <w:rsid w:val="002076D8"/>
    <w:rsid w:val="002123BB"/>
    <w:rsid w:val="002133C4"/>
    <w:rsid w:val="00220F9B"/>
    <w:rsid w:val="00234886"/>
    <w:rsid w:val="002445E6"/>
    <w:rsid w:val="002514B9"/>
    <w:rsid w:val="0025184D"/>
    <w:rsid w:val="00254094"/>
    <w:rsid w:val="00270AA5"/>
    <w:rsid w:val="00271416"/>
    <w:rsid w:val="0028069B"/>
    <w:rsid w:val="00286E57"/>
    <w:rsid w:val="002A2FEE"/>
    <w:rsid w:val="002A3966"/>
    <w:rsid w:val="002A590A"/>
    <w:rsid w:val="002A5B40"/>
    <w:rsid w:val="002B0B78"/>
    <w:rsid w:val="002B248E"/>
    <w:rsid w:val="002B401E"/>
    <w:rsid w:val="002C1C6F"/>
    <w:rsid w:val="002D0392"/>
    <w:rsid w:val="002D0DC3"/>
    <w:rsid w:val="002F5B00"/>
    <w:rsid w:val="00317BC3"/>
    <w:rsid w:val="00321973"/>
    <w:rsid w:val="00326F40"/>
    <w:rsid w:val="00354139"/>
    <w:rsid w:val="00357E76"/>
    <w:rsid w:val="0036141D"/>
    <w:rsid w:val="00384D4F"/>
    <w:rsid w:val="00387667"/>
    <w:rsid w:val="00392414"/>
    <w:rsid w:val="003950A8"/>
    <w:rsid w:val="003C632A"/>
    <w:rsid w:val="003D1A1B"/>
    <w:rsid w:val="003D445E"/>
    <w:rsid w:val="003E0F6B"/>
    <w:rsid w:val="003E10A4"/>
    <w:rsid w:val="003E3F00"/>
    <w:rsid w:val="003E3F39"/>
    <w:rsid w:val="003E48EB"/>
    <w:rsid w:val="00403B07"/>
    <w:rsid w:val="00422E95"/>
    <w:rsid w:val="0042397B"/>
    <w:rsid w:val="0042557F"/>
    <w:rsid w:val="00425FB6"/>
    <w:rsid w:val="00426BBF"/>
    <w:rsid w:val="00426C1A"/>
    <w:rsid w:val="004275D9"/>
    <w:rsid w:val="00427C0F"/>
    <w:rsid w:val="004441B0"/>
    <w:rsid w:val="004511CA"/>
    <w:rsid w:val="004532E7"/>
    <w:rsid w:val="0045611D"/>
    <w:rsid w:val="00456376"/>
    <w:rsid w:val="0046368A"/>
    <w:rsid w:val="00473C7B"/>
    <w:rsid w:val="004757AB"/>
    <w:rsid w:val="004818A0"/>
    <w:rsid w:val="00486D83"/>
    <w:rsid w:val="0048763C"/>
    <w:rsid w:val="00491C33"/>
    <w:rsid w:val="0049541A"/>
    <w:rsid w:val="004A0FA0"/>
    <w:rsid w:val="004A289C"/>
    <w:rsid w:val="004B07E2"/>
    <w:rsid w:val="004B3515"/>
    <w:rsid w:val="004B60C2"/>
    <w:rsid w:val="004C1994"/>
    <w:rsid w:val="004C2787"/>
    <w:rsid w:val="004C359A"/>
    <w:rsid w:val="004C68EB"/>
    <w:rsid w:val="004E6BF4"/>
    <w:rsid w:val="00503A6E"/>
    <w:rsid w:val="00510A1B"/>
    <w:rsid w:val="00510AD3"/>
    <w:rsid w:val="0051116E"/>
    <w:rsid w:val="00513D7B"/>
    <w:rsid w:val="00536E80"/>
    <w:rsid w:val="005377A4"/>
    <w:rsid w:val="00543483"/>
    <w:rsid w:val="00543613"/>
    <w:rsid w:val="00543D2D"/>
    <w:rsid w:val="00545115"/>
    <w:rsid w:val="00565B63"/>
    <w:rsid w:val="00570403"/>
    <w:rsid w:val="00570C5F"/>
    <w:rsid w:val="0057176D"/>
    <w:rsid w:val="00571CC2"/>
    <w:rsid w:val="00581731"/>
    <w:rsid w:val="00586C51"/>
    <w:rsid w:val="005924F9"/>
    <w:rsid w:val="005A2436"/>
    <w:rsid w:val="005A3CBC"/>
    <w:rsid w:val="005A792E"/>
    <w:rsid w:val="005A7CCB"/>
    <w:rsid w:val="005B1D09"/>
    <w:rsid w:val="005B543B"/>
    <w:rsid w:val="005C2204"/>
    <w:rsid w:val="005C2702"/>
    <w:rsid w:val="005D25BD"/>
    <w:rsid w:val="005D473F"/>
    <w:rsid w:val="005D5EBB"/>
    <w:rsid w:val="005E2860"/>
    <w:rsid w:val="005F0D06"/>
    <w:rsid w:val="005F18A7"/>
    <w:rsid w:val="00603B4F"/>
    <w:rsid w:val="00611F15"/>
    <w:rsid w:val="00612D64"/>
    <w:rsid w:val="00624984"/>
    <w:rsid w:val="00625152"/>
    <w:rsid w:val="0063375D"/>
    <w:rsid w:val="00644425"/>
    <w:rsid w:val="00646245"/>
    <w:rsid w:val="00652458"/>
    <w:rsid w:val="00652BEF"/>
    <w:rsid w:val="00664781"/>
    <w:rsid w:val="00670B6E"/>
    <w:rsid w:val="006728A4"/>
    <w:rsid w:val="0067304B"/>
    <w:rsid w:val="006739DD"/>
    <w:rsid w:val="00675EBB"/>
    <w:rsid w:val="00682263"/>
    <w:rsid w:val="00682FEF"/>
    <w:rsid w:val="00683F01"/>
    <w:rsid w:val="00687C57"/>
    <w:rsid w:val="00693A56"/>
    <w:rsid w:val="006B240C"/>
    <w:rsid w:val="006B2F6D"/>
    <w:rsid w:val="006B7861"/>
    <w:rsid w:val="006C195B"/>
    <w:rsid w:val="006D20F1"/>
    <w:rsid w:val="006D420B"/>
    <w:rsid w:val="006E4F19"/>
    <w:rsid w:val="006E75C0"/>
    <w:rsid w:val="006F04DD"/>
    <w:rsid w:val="006F6FA6"/>
    <w:rsid w:val="007027C4"/>
    <w:rsid w:val="0070337B"/>
    <w:rsid w:val="00707830"/>
    <w:rsid w:val="007157AE"/>
    <w:rsid w:val="00716916"/>
    <w:rsid w:val="00717CE3"/>
    <w:rsid w:val="00721F90"/>
    <w:rsid w:val="00725639"/>
    <w:rsid w:val="00731D86"/>
    <w:rsid w:val="007401B6"/>
    <w:rsid w:val="00740380"/>
    <w:rsid w:val="00743E03"/>
    <w:rsid w:val="00771A0B"/>
    <w:rsid w:val="007752FB"/>
    <w:rsid w:val="00776C29"/>
    <w:rsid w:val="00782BC6"/>
    <w:rsid w:val="00792A6A"/>
    <w:rsid w:val="007948AA"/>
    <w:rsid w:val="0079553B"/>
    <w:rsid w:val="007955BA"/>
    <w:rsid w:val="007B0854"/>
    <w:rsid w:val="007B3A4C"/>
    <w:rsid w:val="007B531A"/>
    <w:rsid w:val="007C24D3"/>
    <w:rsid w:val="007C2F87"/>
    <w:rsid w:val="007D6107"/>
    <w:rsid w:val="007E03AD"/>
    <w:rsid w:val="007F5A29"/>
    <w:rsid w:val="007F7569"/>
    <w:rsid w:val="008110A4"/>
    <w:rsid w:val="00823057"/>
    <w:rsid w:val="008341AC"/>
    <w:rsid w:val="008359DD"/>
    <w:rsid w:val="00864F3D"/>
    <w:rsid w:val="00864FFC"/>
    <w:rsid w:val="00874D60"/>
    <w:rsid w:val="00875E2B"/>
    <w:rsid w:val="008A3BC7"/>
    <w:rsid w:val="008A58CF"/>
    <w:rsid w:val="008B6265"/>
    <w:rsid w:val="008C2EF6"/>
    <w:rsid w:val="008C494C"/>
    <w:rsid w:val="008C54C8"/>
    <w:rsid w:val="008D7056"/>
    <w:rsid w:val="008F6293"/>
    <w:rsid w:val="008F7901"/>
    <w:rsid w:val="009078B0"/>
    <w:rsid w:val="00935941"/>
    <w:rsid w:val="00946EE3"/>
    <w:rsid w:val="009509DA"/>
    <w:rsid w:val="00951582"/>
    <w:rsid w:val="009629CB"/>
    <w:rsid w:val="00966314"/>
    <w:rsid w:val="00967D51"/>
    <w:rsid w:val="009937BF"/>
    <w:rsid w:val="00995CE6"/>
    <w:rsid w:val="00996AB1"/>
    <w:rsid w:val="009A0C51"/>
    <w:rsid w:val="009A1D55"/>
    <w:rsid w:val="009A44C4"/>
    <w:rsid w:val="009A7CA7"/>
    <w:rsid w:val="009B2129"/>
    <w:rsid w:val="009B6915"/>
    <w:rsid w:val="009C3750"/>
    <w:rsid w:val="009D0D90"/>
    <w:rsid w:val="009D2188"/>
    <w:rsid w:val="009E15A3"/>
    <w:rsid w:val="009E3736"/>
    <w:rsid w:val="009F0343"/>
    <w:rsid w:val="009F34C1"/>
    <w:rsid w:val="009F4EA9"/>
    <w:rsid w:val="009F7524"/>
    <w:rsid w:val="00A03353"/>
    <w:rsid w:val="00A16A1B"/>
    <w:rsid w:val="00A231A6"/>
    <w:rsid w:val="00A251E2"/>
    <w:rsid w:val="00A368CE"/>
    <w:rsid w:val="00A4410F"/>
    <w:rsid w:val="00A44706"/>
    <w:rsid w:val="00A47FE5"/>
    <w:rsid w:val="00A5195C"/>
    <w:rsid w:val="00A5683C"/>
    <w:rsid w:val="00A71966"/>
    <w:rsid w:val="00A74ABA"/>
    <w:rsid w:val="00A8548F"/>
    <w:rsid w:val="00A90EEE"/>
    <w:rsid w:val="00A90F4F"/>
    <w:rsid w:val="00A936DA"/>
    <w:rsid w:val="00A977F4"/>
    <w:rsid w:val="00AB524B"/>
    <w:rsid w:val="00AD5EA9"/>
    <w:rsid w:val="00AD6EBF"/>
    <w:rsid w:val="00AE6D10"/>
    <w:rsid w:val="00AF2935"/>
    <w:rsid w:val="00B04EB8"/>
    <w:rsid w:val="00B07FD4"/>
    <w:rsid w:val="00B13C3C"/>
    <w:rsid w:val="00B148D7"/>
    <w:rsid w:val="00B14B5D"/>
    <w:rsid w:val="00B23D4A"/>
    <w:rsid w:val="00B416ED"/>
    <w:rsid w:val="00B43D9E"/>
    <w:rsid w:val="00B43EE4"/>
    <w:rsid w:val="00B45B06"/>
    <w:rsid w:val="00B464B1"/>
    <w:rsid w:val="00B5345C"/>
    <w:rsid w:val="00B56994"/>
    <w:rsid w:val="00B65B57"/>
    <w:rsid w:val="00B73286"/>
    <w:rsid w:val="00B76BEA"/>
    <w:rsid w:val="00B81470"/>
    <w:rsid w:val="00B960FE"/>
    <w:rsid w:val="00BB1F1B"/>
    <w:rsid w:val="00BB4C40"/>
    <w:rsid w:val="00BB6427"/>
    <w:rsid w:val="00BC18B9"/>
    <w:rsid w:val="00BC6932"/>
    <w:rsid w:val="00BD3A1C"/>
    <w:rsid w:val="00BE1E79"/>
    <w:rsid w:val="00BF38C7"/>
    <w:rsid w:val="00BF5F36"/>
    <w:rsid w:val="00BF7B22"/>
    <w:rsid w:val="00C0088D"/>
    <w:rsid w:val="00C04887"/>
    <w:rsid w:val="00C0742B"/>
    <w:rsid w:val="00C13207"/>
    <w:rsid w:val="00C141F5"/>
    <w:rsid w:val="00C15D5E"/>
    <w:rsid w:val="00C22379"/>
    <w:rsid w:val="00C264FE"/>
    <w:rsid w:val="00C313A1"/>
    <w:rsid w:val="00C34A78"/>
    <w:rsid w:val="00C4430B"/>
    <w:rsid w:val="00C50E97"/>
    <w:rsid w:val="00C53876"/>
    <w:rsid w:val="00C55817"/>
    <w:rsid w:val="00C66220"/>
    <w:rsid w:val="00C71D7B"/>
    <w:rsid w:val="00C7540E"/>
    <w:rsid w:val="00C93172"/>
    <w:rsid w:val="00CA2D02"/>
    <w:rsid w:val="00CB1046"/>
    <w:rsid w:val="00CB1FF7"/>
    <w:rsid w:val="00CB3A79"/>
    <w:rsid w:val="00CD0175"/>
    <w:rsid w:val="00CD1962"/>
    <w:rsid w:val="00CE67D0"/>
    <w:rsid w:val="00CE7992"/>
    <w:rsid w:val="00CF4EAB"/>
    <w:rsid w:val="00D042FA"/>
    <w:rsid w:val="00D05E14"/>
    <w:rsid w:val="00D2304C"/>
    <w:rsid w:val="00D2327C"/>
    <w:rsid w:val="00D262AC"/>
    <w:rsid w:val="00D30244"/>
    <w:rsid w:val="00D40E33"/>
    <w:rsid w:val="00D469A7"/>
    <w:rsid w:val="00D47DE2"/>
    <w:rsid w:val="00D51452"/>
    <w:rsid w:val="00D541B2"/>
    <w:rsid w:val="00D67945"/>
    <w:rsid w:val="00D70BC2"/>
    <w:rsid w:val="00D764D4"/>
    <w:rsid w:val="00D76BC2"/>
    <w:rsid w:val="00D8079C"/>
    <w:rsid w:val="00D8233D"/>
    <w:rsid w:val="00D87432"/>
    <w:rsid w:val="00D91FC2"/>
    <w:rsid w:val="00D93DDE"/>
    <w:rsid w:val="00D96868"/>
    <w:rsid w:val="00DA72BB"/>
    <w:rsid w:val="00DA7A90"/>
    <w:rsid w:val="00DC24D5"/>
    <w:rsid w:val="00DC58FC"/>
    <w:rsid w:val="00DD0375"/>
    <w:rsid w:val="00DD38C2"/>
    <w:rsid w:val="00DD5A0C"/>
    <w:rsid w:val="00DD6B53"/>
    <w:rsid w:val="00DE146E"/>
    <w:rsid w:val="00DE72D4"/>
    <w:rsid w:val="00DF06B9"/>
    <w:rsid w:val="00DF1734"/>
    <w:rsid w:val="00DF776F"/>
    <w:rsid w:val="00E033D9"/>
    <w:rsid w:val="00E03802"/>
    <w:rsid w:val="00E137C6"/>
    <w:rsid w:val="00E159B5"/>
    <w:rsid w:val="00E20B0A"/>
    <w:rsid w:val="00E20C3B"/>
    <w:rsid w:val="00E21B27"/>
    <w:rsid w:val="00E2435B"/>
    <w:rsid w:val="00E25457"/>
    <w:rsid w:val="00E35235"/>
    <w:rsid w:val="00E3544A"/>
    <w:rsid w:val="00E359B7"/>
    <w:rsid w:val="00E36E1E"/>
    <w:rsid w:val="00E36FAF"/>
    <w:rsid w:val="00E37039"/>
    <w:rsid w:val="00E42A23"/>
    <w:rsid w:val="00E55B7A"/>
    <w:rsid w:val="00E625DF"/>
    <w:rsid w:val="00E70A67"/>
    <w:rsid w:val="00E72D5E"/>
    <w:rsid w:val="00E72EC5"/>
    <w:rsid w:val="00E767C3"/>
    <w:rsid w:val="00E7718F"/>
    <w:rsid w:val="00E8152C"/>
    <w:rsid w:val="00E81C5D"/>
    <w:rsid w:val="00E81EBC"/>
    <w:rsid w:val="00E8779B"/>
    <w:rsid w:val="00E9286D"/>
    <w:rsid w:val="00E93132"/>
    <w:rsid w:val="00E976A4"/>
    <w:rsid w:val="00E97CFF"/>
    <w:rsid w:val="00EA4B59"/>
    <w:rsid w:val="00EA72AE"/>
    <w:rsid w:val="00EB3029"/>
    <w:rsid w:val="00EB6855"/>
    <w:rsid w:val="00EC47AD"/>
    <w:rsid w:val="00ED0928"/>
    <w:rsid w:val="00ED3B34"/>
    <w:rsid w:val="00EE4E5D"/>
    <w:rsid w:val="00EE5180"/>
    <w:rsid w:val="00EE6328"/>
    <w:rsid w:val="00EF25C8"/>
    <w:rsid w:val="00EF35DA"/>
    <w:rsid w:val="00EF3EAA"/>
    <w:rsid w:val="00EF5762"/>
    <w:rsid w:val="00F152CE"/>
    <w:rsid w:val="00F16ED6"/>
    <w:rsid w:val="00F17D59"/>
    <w:rsid w:val="00F213E2"/>
    <w:rsid w:val="00F24863"/>
    <w:rsid w:val="00F24BA0"/>
    <w:rsid w:val="00F321A1"/>
    <w:rsid w:val="00F34C26"/>
    <w:rsid w:val="00F61303"/>
    <w:rsid w:val="00F7371E"/>
    <w:rsid w:val="00F7773E"/>
    <w:rsid w:val="00F80324"/>
    <w:rsid w:val="00F91745"/>
    <w:rsid w:val="00F93CF6"/>
    <w:rsid w:val="00FA4A7D"/>
    <w:rsid w:val="00FC2D89"/>
    <w:rsid w:val="00FC5BB3"/>
    <w:rsid w:val="00FD5098"/>
    <w:rsid w:val="00FD7252"/>
    <w:rsid w:val="00FD7E78"/>
    <w:rsid w:val="00FE0F09"/>
    <w:rsid w:val="00FE15A8"/>
    <w:rsid w:val="00FF0778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">
    <w:name w:val="No Spacing"/>
    <w:uiPriority w:val="1"/>
    <w:qFormat/>
    <w:rsid w:val="00023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328F0E99160A1156A6AF9E4A75EE0DA5E75AC504B71E96FAC608C2B6D9AE51FD0B44A43316DEB5695EDtFw8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9328F0E99160A1156A6AF9E4A75EE0DA5E75AC504B71E96FAC608C2B6D9AE51FD0B44A43316DEB5695EDtFw8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7B460B16AEC1DED91790AC9972A75003D65EFC3364A0EE5B4D3BF1E993364FD7BBC82E6DA63E12F995041m4G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9328F0E99160A1156A6AF9E4A75EE0DA5E75AC504B71E96FAC608C2B6D9AE51FD0B44A43316DEB5695EDtFw8O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9C0F8CC-B192-45AD-80DB-988946AF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1209</Words>
  <Characters>9520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10708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Ekonom4</cp:lastModifiedBy>
  <cp:revision>143</cp:revision>
  <cp:lastPrinted>2018-10-16T08:51:00Z</cp:lastPrinted>
  <dcterms:created xsi:type="dcterms:W3CDTF">2017-05-24T05:40:00Z</dcterms:created>
  <dcterms:modified xsi:type="dcterms:W3CDTF">2018-10-17T12:32:00Z</dcterms:modified>
</cp:coreProperties>
</file>