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E1839" w:rsidP="00EE2686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7E1839">
            <w:pPr>
              <w:jc w:val="center"/>
            </w:pPr>
            <w:r>
              <w:t>2</w:t>
            </w:r>
            <w:r w:rsidR="007E1839">
              <w:t>100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5E00C5" w:rsidRPr="00541C78" w:rsidRDefault="005E00C5" w:rsidP="005E00C5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070E9E">
        <w:rPr>
          <w:sz w:val="26"/>
          <w:szCs w:val="26"/>
        </w:rPr>
        <w:t>Основных направлений</w:t>
      </w:r>
      <w:r>
        <w:rPr>
          <w:sz w:val="26"/>
          <w:szCs w:val="26"/>
        </w:rPr>
        <w:t xml:space="preserve"> </w:t>
      </w:r>
      <w:r w:rsidRPr="00070E9E">
        <w:rPr>
          <w:sz w:val="26"/>
          <w:szCs w:val="26"/>
        </w:rPr>
        <w:t xml:space="preserve">бюджетной и налоговой политики </w:t>
      </w:r>
      <w:r>
        <w:rPr>
          <w:sz w:val="26"/>
          <w:szCs w:val="26"/>
        </w:rPr>
        <w:t>МО "</w:t>
      </w:r>
      <w:r w:rsidRPr="00070E9E">
        <w:rPr>
          <w:sz w:val="26"/>
          <w:szCs w:val="26"/>
        </w:rPr>
        <w:t>Городской</w:t>
      </w:r>
      <w:r>
        <w:rPr>
          <w:sz w:val="26"/>
          <w:szCs w:val="26"/>
        </w:rPr>
        <w:t xml:space="preserve"> округ "Город Нарьян-Мар"        на 2015</w:t>
      </w:r>
      <w:r w:rsidRPr="00541C78">
        <w:rPr>
          <w:sz w:val="26"/>
          <w:szCs w:val="26"/>
        </w:rPr>
        <w:t xml:space="preserve"> го</w:t>
      </w:r>
      <w:r>
        <w:rPr>
          <w:sz w:val="26"/>
          <w:szCs w:val="26"/>
        </w:rPr>
        <w:t>д и на плановый период 2016 и 2017 годов</w:t>
      </w:r>
    </w:p>
    <w:p w:rsidR="005E00C5" w:rsidRDefault="005E00C5" w:rsidP="005E00C5">
      <w:pPr>
        <w:ind w:left="708"/>
        <w:jc w:val="both"/>
        <w:rPr>
          <w:sz w:val="26"/>
        </w:rPr>
      </w:pPr>
    </w:p>
    <w:p w:rsidR="005E00C5" w:rsidRDefault="005E00C5" w:rsidP="005E00C5">
      <w:pPr>
        <w:ind w:left="708"/>
        <w:jc w:val="both"/>
        <w:rPr>
          <w:sz w:val="26"/>
        </w:rPr>
      </w:pPr>
    </w:p>
    <w:p w:rsidR="005E00C5" w:rsidRDefault="005E00C5" w:rsidP="005E00C5">
      <w:pPr>
        <w:ind w:left="708"/>
        <w:jc w:val="both"/>
        <w:rPr>
          <w:sz w:val="26"/>
        </w:rPr>
      </w:pPr>
    </w:p>
    <w:p w:rsidR="005E00C5" w:rsidRDefault="005E00C5" w:rsidP="005E0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Руководствуясь статьёй 28 Положения</w:t>
      </w:r>
      <w:r>
        <w:rPr>
          <w:sz w:val="26"/>
          <w:szCs w:val="26"/>
        </w:rPr>
        <w:t xml:space="preserve"> "О бюджетном процессе                             в муниципальном образовании "Городской округ "Город Нарьян-Мар", утвержденного решением Совета городского округа "Город Нарьян-Мар"                      от 28.03.2013 № 530-р (в ред. от 28.11.2013 № 613-р), Администрация МО "Городской округ "Город Нарьян-Мар"</w:t>
      </w:r>
    </w:p>
    <w:p w:rsidR="005E00C5" w:rsidRDefault="005E00C5" w:rsidP="005E00C5">
      <w:pPr>
        <w:ind w:firstLine="709"/>
        <w:jc w:val="both"/>
        <w:rPr>
          <w:sz w:val="26"/>
        </w:rPr>
      </w:pPr>
    </w:p>
    <w:p w:rsidR="005E00C5" w:rsidRPr="00DB0269" w:rsidRDefault="005E00C5" w:rsidP="005E00C5">
      <w:pPr>
        <w:ind w:firstLine="709"/>
        <w:jc w:val="center"/>
        <w:rPr>
          <w:b/>
          <w:sz w:val="26"/>
        </w:rPr>
      </w:pPr>
      <w:proofErr w:type="gramStart"/>
      <w:r w:rsidRPr="00DB0269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Т:</w:t>
      </w:r>
    </w:p>
    <w:p w:rsidR="005E00C5" w:rsidRDefault="005E00C5" w:rsidP="005E00C5">
      <w:pPr>
        <w:ind w:firstLine="709"/>
        <w:jc w:val="center"/>
        <w:rPr>
          <w:sz w:val="26"/>
        </w:rPr>
      </w:pPr>
    </w:p>
    <w:p w:rsidR="005E00C5" w:rsidRDefault="005E00C5" w:rsidP="005E00C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Утвердить Основные направления бюджетной и налоговой политики МО "Городской округ "Город Нарьян-Мар" на 2015 год и на плановый период 2016 и  2017 годов (Приложение).</w:t>
      </w:r>
    </w:p>
    <w:p w:rsidR="005E00C5" w:rsidRDefault="005E00C5" w:rsidP="005E00C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</w:rPr>
      </w:pPr>
      <w:proofErr w:type="gramStart"/>
      <w:r>
        <w:rPr>
          <w:sz w:val="26"/>
        </w:rPr>
        <w:t xml:space="preserve">Управлению финансов Администрации МО "Городской округ "Город Нарьян-Мар" обеспечить контроль за соответствием проекта бюджета МО "Городской округ "Город Нарьян-Мар" на 2015 год и на плановый период 2016 и  2017 годов Основным направлениям бюджетной и налоговой политики МО "Городской округ "Город Нарьян-Мар" на 2015 год и на плановый период 2016 и  2017 годов. </w:t>
      </w:r>
      <w:proofErr w:type="gramEnd"/>
    </w:p>
    <w:p w:rsidR="005E00C5" w:rsidRDefault="005E00C5" w:rsidP="005E00C5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5E00C5" w:rsidRDefault="005E00C5" w:rsidP="005E00C5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постановление вступает в силу со дня его подписания.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5E00C5" w:rsidRDefault="005E00C5" w:rsidP="00D27024"/>
    <w:p w:rsidR="005E00C5" w:rsidRDefault="005E00C5" w:rsidP="00D27024"/>
    <w:p w:rsidR="005E00C5" w:rsidRDefault="005E00C5" w:rsidP="00D27024"/>
    <w:p w:rsidR="005E00C5" w:rsidRDefault="005E00C5" w:rsidP="00D27024"/>
    <w:p w:rsidR="005E00C5" w:rsidRDefault="005E00C5" w:rsidP="00D27024">
      <w:pPr>
        <w:sectPr w:rsidR="005E00C5" w:rsidSect="001D6F10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5E00C5" w:rsidRDefault="005E00C5" w:rsidP="00D27024">
      <w:pPr>
        <w:sectPr w:rsidR="005E00C5" w:rsidSect="005E00C5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5E00C5" w:rsidRDefault="005E00C5" w:rsidP="005E00C5">
      <w:pPr>
        <w:pStyle w:val="ae"/>
        <w:ind w:left="7788" w:firstLine="29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</w:t>
      </w:r>
    </w:p>
    <w:p w:rsidR="005E00C5" w:rsidRDefault="005E00C5" w:rsidP="005E00C5">
      <w:pPr>
        <w:pStyle w:val="ae"/>
        <w:ind w:firstLine="29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УТВЕРЖДЕНЫ</w:t>
      </w:r>
    </w:p>
    <w:p w:rsidR="005E00C5" w:rsidRDefault="005E00C5" w:rsidP="005E00C5">
      <w:pPr>
        <w:pStyle w:val="ae"/>
        <w:ind w:firstLine="29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постановлением Администрации</w:t>
      </w:r>
    </w:p>
    <w:p w:rsidR="005E00C5" w:rsidRDefault="005E00C5" w:rsidP="005E00C5">
      <w:pPr>
        <w:pStyle w:val="ae"/>
        <w:ind w:firstLine="29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МО "Городской округ "Город Нарьян-Мар"</w:t>
      </w:r>
    </w:p>
    <w:p w:rsidR="005E00C5" w:rsidRDefault="005E00C5" w:rsidP="005E00C5">
      <w:pPr>
        <w:pStyle w:val="ae"/>
        <w:ind w:firstLine="29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01.09.2014 № 2100</w:t>
      </w:r>
    </w:p>
    <w:p w:rsidR="005E00C5" w:rsidRDefault="005E00C5" w:rsidP="005E00C5">
      <w:pPr>
        <w:pStyle w:val="ae"/>
        <w:jc w:val="left"/>
        <w:rPr>
          <w:sz w:val="26"/>
          <w:szCs w:val="26"/>
        </w:rPr>
      </w:pPr>
    </w:p>
    <w:p w:rsidR="005E00C5" w:rsidRDefault="005E00C5" w:rsidP="005E00C5">
      <w:pPr>
        <w:pStyle w:val="ae"/>
        <w:rPr>
          <w:sz w:val="26"/>
          <w:szCs w:val="26"/>
        </w:rPr>
      </w:pPr>
      <w:r>
        <w:rPr>
          <w:sz w:val="26"/>
          <w:szCs w:val="26"/>
        </w:rPr>
        <w:t>Основные направления</w:t>
      </w:r>
    </w:p>
    <w:p w:rsidR="005E00C5" w:rsidRDefault="005E00C5" w:rsidP="005E00C5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 бюджетной и налоговой политики</w:t>
      </w:r>
    </w:p>
    <w:p w:rsidR="005E00C5" w:rsidRDefault="005E00C5" w:rsidP="005E00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"Городской округ "Город Нарьян-Мар" </w:t>
      </w:r>
    </w:p>
    <w:p w:rsidR="005E00C5" w:rsidRDefault="005E00C5" w:rsidP="005E00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2015 год и на плановый период 2016 и 2017 годов</w:t>
      </w:r>
    </w:p>
    <w:p w:rsidR="005E00C5" w:rsidRDefault="005E00C5" w:rsidP="005E00C5">
      <w:pPr>
        <w:jc w:val="center"/>
        <w:rPr>
          <w:b/>
          <w:bCs/>
          <w:sz w:val="26"/>
          <w:szCs w:val="26"/>
        </w:rPr>
      </w:pPr>
    </w:p>
    <w:p w:rsidR="005E00C5" w:rsidRPr="007621E9" w:rsidRDefault="005E00C5" w:rsidP="005E00C5">
      <w:pPr>
        <w:jc w:val="center"/>
        <w:rPr>
          <w:b/>
          <w:bCs/>
          <w:sz w:val="26"/>
          <w:szCs w:val="26"/>
        </w:rPr>
      </w:pPr>
      <w:smartTag w:uri="urn:schemas-microsoft-com:office:smarttags" w:element="place">
        <w:r>
          <w:rPr>
            <w:b/>
            <w:bCs/>
            <w:sz w:val="26"/>
            <w:szCs w:val="26"/>
            <w:lang w:val="en-US"/>
          </w:rPr>
          <w:t>I</w:t>
        </w:r>
        <w:r>
          <w:rPr>
            <w:b/>
            <w:bCs/>
            <w:sz w:val="26"/>
            <w:szCs w:val="26"/>
          </w:rPr>
          <w:t>.</w:t>
        </w:r>
      </w:smartTag>
      <w:r>
        <w:rPr>
          <w:b/>
          <w:bCs/>
          <w:sz w:val="26"/>
          <w:szCs w:val="26"/>
        </w:rPr>
        <w:t xml:space="preserve"> Цели и задачи бюджетной и налоговой политики</w:t>
      </w:r>
    </w:p>
    <w:p w:rsidR="005E00C5" w:rsidRDefault="005E00C5" w:rsidP="005E00C5">
      <w:pPr>
        <w:jc w:val="center"/>
        <w:rPr>
          <w:b/>
          <w:bCs/>
          <w:sz w:val="26"/>
          <w:szCs w:val="26"/>
        </w:rPr>
      </w:pPr>
    </w:p>
    <w:p w:rsidR="005E00C5" w:rsidRDefault="005E00C5" w:rsidP="005E0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Основные направления бюджетной и налоговой политики МО "Городской округ "Город Нарьян-Мар" на 2015 год и на плановый период 2016 и 2017 годов, разработанные в соответствии со статьёй 172 Бюджетного кодекса Российской Федерации и статьёй 28 </w:t>
      </w:r>
      <w:r>
        <w:rPr>
          <w:sz w:val="26"/>
        </w:rPr>
        <w:t>Положения</w:t>
      </w:r>
      <w:r>
        <w:rPr>
          <w:sz w:val="26"/>
          <w:szCs w:val="26"/>
        </w:rPr>
        <w:t xml:space="preserve">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№ 530-р (в ред.                от 28.11.2013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613-р), содержат основные цели, задачи и приоритеты бюджетной и налоговой политики муниципального образования "Городской округ "Город Нарьян-Мар" (далее – бюджетная и налоговая политика) на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средств.</w:t>
      </w:r>
      <w:proofErr w:type="gramEnd"/>
    </w:p>
    <w:p w:rsidR="005E00C5" w:rsidRDefault="005E00C5" w:rsidP="005E0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Бюджетная и налоговая политика должна быть направлена на обеспечение дальнейшего устойчивого социально-экономического развития муниципального образования "Городской округ "Город Нарьян-Мар" (далее – городской округ) и             на решение социально-экономических задач, в первую очередь, предусмотренных             в указах Президента Российской Федерации от 7 мая 2012 года: на улучшение качества жизни населения, на поддержку экономического роста, на повышение эффективности управления общественными финансами, на обеспечение прозрачности бюджетного</w:t>
      </w:r>
      <w:proofErr w:type="gramEnd"/>
      <w:r>
        <w:rPr>
          <w:sz w:val="26"/>
          <w:szCs w:val="26"/>
        </w:rPr>
        <w:t xml:space="preserve"> процесса.</w:t>
      </w:r>
    </w:p>
    <w:p w:rsidR="005E00C5" w:rsidRDefault="005E00C5" w:rsidP="005E0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поставленных целей необходимо сосредоточить усилия органов местного самоуправления городского округа и создать механизмы, направленные на решение следующих основных задач: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обеспечение долгосрочной сбалансированности и устойчивости бюджета МО "Городской округ "Город Нарьян-Мар" (далее – городской бюджет);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определение приоритетных направлений бюджетных расходов, повышение их эффективности;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обеспечение выполнения в полном объёме утверждённых муниципальных заданий муниципальными учреждениями;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достижение оптимального соотношения поставленных результатов и финансового обеспечения;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повышение качества предоставления муниципальных услуг (выполнения работ);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оптимизация функций муниципального управления, повышение эффективности их обеспечения;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совершенствование муниципального финансового контроля;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повышение открытости и прозрачности финансовой деятельности.</w:t>
      </w:r>
    </w:p>
    <w:p w:rsidR="005E00C5" w:rsidRDefault="005E00C5" w:rsidP="005E00C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>
        <w:rPr>
          <w:b/>
          <w:sz w:val="26"/>
          <w:szCs w:val="26"/>
        </w:rPr>
        <w:t>. Основные направления налоговой политики</w:t>
      </w:r>
    </w:p>
    <w:p w:rsidR="005E00C5" w:rsidRDefault="005E00C5" w:rsidP="005E00C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E00C5" w:rsidRDefault="005E00C5" w:rsidP="005E0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Налоговая политика городского округа в 2015-2017 годах должна быть нацелена на динамичное плановое поступление доходов в городской бюджет, обеспечивающих текущие потребности бюджета и сокращение размеров муниципального долга, и строиться с учетом изменений законодательства Российской Федерации при активизации действий органов местного самоуправления городского округа по увеличению собственных доходов городского бюджета.</w:t>
      </w:r>
    </w:p>
    <w:p w:rsidR="005E00C5" w:rsidRDefault="005E00C5" w:rsidP="005E0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решения данной задачи являются: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продолжение совместной работы с налоговыми и иными территориальными уполномоченными федеральными органами исполнительной власти и  уполномоченными исполнительными органами государственной власти Ненецкого автономного округа по обеспечению полноты и своевременности поступлений доходов городского бюджета;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ежегодное проведение оценки эффективности действующих налоговых льгот по местным налогам, предоставленных решениями Совета городского округа "Город Нарьян-Мар";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эффективная реализация контрольных функций главными администраторами доходов городского бюджета за поступлением платежей                       в бюджет, проведение своевременной </w:t>
      </w:r>
      <w:proofErr w:type="spellStart"/>
      <w:r>
        <w:rPr>
          <w:sz w:val="26"/>
          <w:szCs w:val="26"/>
        </w:rPr>
        <w:t>претензионно-исковой</w:t>
      </w:r>
      <w:proofErr w:type="spellEnd"/>
      <w:r>
        <w:rPr>
          <w:sz w:val="26"/>
          <w:szCs w:val="26"/>
        </w:rPr>
        <w:t xml:space="preserve"> работы с неплательщиками и осуществление мер принудительного взыскания задолженности;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усиление взаимодействия с организациями, имеющими задолженность         по платежам в городской бюджет, и принятие мер, предусмотренных законодательством по её недопущению либо снижению;</w:t>
      </w:r>
    </w:p>
    <w:p w:rsidR="005E00C5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участие в выявлении проблем в сфере налогового законодательства и разработка предложений по совершенствованию налогового законодательства и принципов распределения налогов между уровнями бюджетной системы;</w:t>
      </w:r>
    </w:p>
    <w:p w:rsidR="005E00C5" w:rsidRPr="0059427F" w:rsidRDefault="005E00C5" w:rsidP="005E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обеспечение эффективности управления муниципальным имуществом, проведение оптимизации структуры муниципального имущества с целью получения дополнительных доходов от его использования и реализации.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</w:p>
    <w:p w:rsidR="005E00C5" w:rsidRDefault="005E00C5" w:rsidP="005E00C5">
      <w:pPr>
        <w:ind w:firstLine="709"/>
        <w:jc w:val="center"/>
        <w:rPr>
          <w:b/>
          <w:bCs/>
          <w:sz w:val="26"/>
          <w:szCs w:val="26"/>
        </w:rPr>
      </w:pPr>
      <w:r w:rsidRPr="00833E4F">
        <w:rPr>
          <w:b/>
          <w:bCs/>
          <w:sz w:val="26"/>
          <w:szCs w:val="26"/>
          <w:lang w:val="en-US"/>
        </w:rPr>
        <w:t>III</w:t>
      </w:r>
      <w:r w:rsidRPr="00833E4F">
        <w:rPr>
          <w:b/>
          <w:bCs/>
          <w:sz w:val="26"/>
          <w:szCs w:val="26"/>
        </w:rPr>
        <w:t>. Основные приоритеты бюджетных средств</w:t>
      </w:r>
    </w:p>
    <w:p w:rsidR="005E00C5" w:rsidRDefault="005E00C5" w:rsidP="005E00C5">
      <w:pPr>
        <w:ind w:firstLine="709"/>
        <w:rPr>
          <w:b/>
          <w:bCs/>
          <w:sz w:val="26"/>
          <w:szCs w:val="26"/>
        </w:rPr>
      </w:pPr>
    </w:p>
    <w:p w:rsidR="005E00C5" w:rsidRPr="00833E4F" w:rsidRDefault="005E00C5" w:rsidP="005E00C5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условиях ограниченных финансовых ресурсов городского бюджета                     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                             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                от 7 мая</w:t>
      </w:r>
      <w:proofErr w:type="gramEnd"/>
      <w:r>
        <w:rPr>
          <w:bCs/>
          <w:sz w:val="26"/>
          <w:szCs w:val="26"/>
        </w:rPr>
        <w:t xml:space="preserve"> 2012 года.</w:t>
      </w:r>
    </w:p>
    <w:p w:rsidR="005E00C5" w:rsidRDefault="005E00C5" w:rsidP="005E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существующей диспропорцией роста доходов и расходов городского бюджета сохраняются бюджетные ограничения при формировании политики              в области расходов городского бюджета.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приоритет будет отдаваться тем сферам муниципальной ответственности, которые непосредственно определяют качество жизни граждан: отрасли социальной сферы и городского хозяйства.  </w:t>
      </w:r>
    </w:p>
    <w:p w:rsidR="005E00C5" w:rsidRDefault="005E00C5" w:rsidP="005E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Таким образом, приоритетными направлениями расходования средств городского округа на 2015-2017 годы остаются расходы на образование и жилищно-коммунальное хозяйство.</w:t>
      </w:r>
    </w:p>
    <w:p w:rsidR="005E00C5" w:rsidRDefault="005E00C5" w:rsidP="005E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сфере образования необходимо повышение</w:t>
      </w:r>
      <w:r w:rsidRPr="00BF4562">
        <w:rPr>
          <w:bCs/>
          <w:sz w:val="26"/>
          <w:szCs w:val="26"/>
        </w:rPr>
        <w:t xml:space="preserve"> качества</w:t>
      </w:r>
      <w:r>
        <w:rPr>
          <w:bCs/>
          <w:sz w:val="26"/>
          <w:szCs w:val="26"/>
        </w:rPr>
        <w:t xml:space="preserve"> и доступности</w:t>
      </w:r>
      <w:r w:rsidRPr="00BF4562">
        <w:rPr>
          <w:bCs/>
          <w:sz w:val="26"/>
          <w:szCs w:val="26"/>
        </w:rPr>
        <w:t xml:space="preserve"> предоставления муниципальных </w:t>
      </w:r>
      <w:r>
        <w:rPr>
          <w:bCs/>
          <w:sz w:val="26"/>
          <w:szCs w:val="26"/>
        </w:rPr>
        <w:t xml:space="preserve">образовательных </w:t>
      </w:r>
      <w:r w:rsidRPr="00BF4562">
        <w:rPr>
          <w:bCs/>
          <w:sz w:val="26"/>
          <w:szCs w:val="26"/>
        </w:rPr>
        <w:t>услуг</w:t>
      </w:r>
      <w:r>
        <w:rPr>
          <w:bCs/>
          <w:sz w:val="26"/>
          <w:szCs w:val="26"/>
        </w:rPr>
        <w:t>.</w:t>
      </w:r>
    </w:p>
    <w:p w:rsidR="005E00C5" w:rsidRPr="00FE2A3F" w:rsidRDefault="005E00C5" w:rsidP="005E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сфере жилищно-коммунального хозяйства необходимо решать проблему перехода к устойчивому функционированию и развитию данной сферы, обеспечивающей безопасные и комфортные условия проживания граждан и доступность жилья и жилищно-коммунальных услуг.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Бюджетная политика соответственно должна быть нацелена на повышение эффективности бюджетных расходов, обеспечение режима экономного и рационального использования бюджетных средств. Необходимо уходить от уже ставшего привычным измерения исполнения бюджета лишь фиксацией расходов       </w:t>
      </w:r>
      <w:proofErr w:type="gramStart"/>
      <w:r>
        <w:rPr>
          <w:bCs/>
          <w:sz w:val="26"/>
          <w:szCs w:val="26"/>
        </w:rPr>
        <w:t>на те</w:t>
      </w:r>
      <w:proofErr w:type="gramEnd"/>
      <w:r>
        <w:rPr>
          <w:bCs/>
          <w:sz w:val="26"/>
          <w:szCs w:val="26"/>
        </w:rPr>
        <w:t xml:space="preserve"> или иные цели. Критериями оценки должны стать степень достижения намеченных результатов и их соответствие целям социально-экономического развития городского округа при оптимальном соотношении поставленных результатов и финансового обеспечения.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принятию новых расходных обязательств городского округа необходимо подходить более ответственно, проводя тщательную оценку их эффективности и учитывая имеющиеся финансовые возможности городского бюджета. Любое предлагаемое новое решение должно быть проанализировано с точки зрения возможностей его финансового обеспечения и вклада в достижение стратегических целей развития городского округа.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Среднесрочное финансовое планирование (переход к утверждению бюджета  на очередной финансовый год и плановый период в формате "скользящей трёхлетки" городского бюджета), достоверность экономических прогнозов, положенных в основу бюджетного планирования, оптимизация структуры расходов городского бюджета, предусматривающая наравне с соблюдением бюджетных ограничений при принятии новых расходных обязательств в случае необходимости сокращение ранее принятых обязательств, должны обеспечить ограничение бюджетного дефицита.</w:t>
      </w:r>
      <w:proofErr w:type="gramEnd"/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Переход к стратегическому бюджетному планированию на период действия муниципальных программ позволит обеспечить как сбалансированность бюджетов всех уровней, так и исполнение целевых показателей муниципальных программ. 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определения чётких приоритетов в расходовании средств бюджетное планирование должно иметь тесную увязку с целями государственной политики            по всем направлениям деятельности. Для этого целесообразно в максимальной степени реализовывать программно-целевой принцип планирования и исполнения городского бюджета, который позволит оптимизировать ограниченные бюджетные ресурсы, повысить эффективность и результативность работы органов местного самоуправления городского округа.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Внедрение программного подхода при формировании городского бюджета позволит определить плановые результаты бюджетных расходов и обеспечить мониторинг их достижения.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Эффективность "программного бюджета" напрямую зависит от качества муниципальных программ, механизмов их реализации и контроля.                                    В муниципальных программах необходимо обеспечить взаимосвязь поставленных целей и бюджетных ограничений, увязку с основными параметрами оказания </w:t>
      </w:r>
      <w:r>
        <w:rPr>
          <w:bCs/>
          <w:sz w:val="26"/>
          <w:szCs w:val="26"/>
        </w:rPr>
        <w:lastRenderedPageBreak/>
        <w:t>муниципальных услуг и объёмами финансирования, проработку планов структурных реформ, обеспечение темпов достижения целевых показателей                      по оплате труда. Механизм реализации муниципальных программ должен способствовать достижению поставленных целей в пределах выделенных объёмов финансирования. При этом объёмы финансирования муниципальных программ должны быть увязаны с реальными возможностями городского бюджета.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Долгосрочное бюджетное планирование в рамках муниципальных программ должно стать реальным шагом на пути к повышению эффективности расходов городского бюджета, быть сдерживающим фактором для их необоснованного роста.  Расходные обязательства следует принимать только при наличии соответствующих финансовых возможностей на весь период действия программ. Развитие программно-целевых методов управления позволит эффективно использовать ограниченные бюджетные ресурсы, повысить результативность деятельности органов местного самоуправления МО "Городской округ "Город Нарьян-Мар".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повышения доступности и качества оказания муниципальных услуг необходимо формирование на уровне федерации единого базового перечня государственных (муниципальных) услуг особенно в таких сферах, как образование, здравоохранение, культура, необходимо создание единой методологии расчёта нормативных затрат на оказание государственной (муниципальной) услуги.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принятии муниципальных программ необходимо предусмотреть, чтобы основные параметры муниципального задания входили в состав целевых показателей выполнения соответствующих муниципальных программ в увязке                   с целевыми показателями развития соответствующих отраслей. В муниципальной программе должны быть предусмотрены методика оценки качества и доступности услуг, предоставляемых населению, методика эффективности деятельности организаций.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Необходимо обеспечить развитие конкурентной среды при размещении муниципальных заданий на конкурсной основе, равную доступность негосударственных организаций к выполнению муниципальных услуг.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Учитывая ограниченные возможности доходной части городского бюджета необходимо, как и в предыдущие годы, сконцентрировать ресурсы на решение приоритетных задач, таких как:</w:t>
      </w:r>
    </w:p>
    <w:p w:rsidR="005E00C5" w:rsidRDefault="005E00C5" w:rsidP="005E00C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повышение качества образования, патриотическое воспитание населения;</w:t>
      </w:r>
    </w:p>
    <w:p w:rsidR="005E00C5" w:rsidRDefault="005E00C5" w:rsidP="005E00C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формирование здорового образа жизни, включая обеспечение возможности занятия физической культурой и спортом;</w:t>
      </w:r>
    </w:p>
    <w:p w:rsidR="005E00C5" w:rsidRDefault="005E00C5" w:rsidP="005E00C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создание условий для самореализации и социальной адаптации молодёжи;</w:t>
      </w:r>
    </w:p>
    <w:p w:rsidR="005E00C5" w:rsidRDefault="005E00C5" w:rsidP="005E00C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создание условий для сохранения культур проживающих на территории городского округа народов и решение проблем национально-культурного развития;</w:t>
      </w:r>
    </w:p>
    <w:p w:rsidR="005E00C5" w:rsidRDefault="005E00C5" w:rsidP="005E00C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 xml:space="preserve">обеспечение качества и </w:t>
      </w:r>
      <w:proofErr w:type="gramStart"/>
      <w:r>
        <w:rPr>
          <w:bCs/>
          <w:sz w:val="26"/>
          <w:szCs w:val="26"/>
        </w:rPr>
        <w:t>доступности</w:t>
      </w:r>
      <w:proofErr w:type="gramEnd"/>
      <w:r>
        <w:rPr>
          <w:bCs/>
          <w:sz w:val="26"/>
          <w:szCs w:val="26"/>
        </w:rPr>
        <w:t xml:space="preserve"> предоставляемых населению коммунальных услуг и решение жилищной проблемы. </w:t>
      </w:r>
    </w:p>
    <w:p w:rsidR="005E00C5" w:rsidRDefault="005E00C5" w:rsidP="005E00C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целях повышения прозрачности городского бюджета и бюджетного процесса необходимо обеспечить систематическое размещение на официальном сайте Администрации МО "Городской округ "Город Нарьян-Мар" в сети "Интернет" открытых данных, включая раздел "Бюджет для граждан", что даст возможность </w:t>
      </w:r>
      <w:r w:rsidR="00AA6364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в доступной форме информировать население о направлениях расходования бюджетных средств, об эффективности расходов и целевом использовании средств, планируемых и достигнутых результатах.</w:t>
      </w:r>
      <w:proofErr w:type="gramEnd"/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</w:p>
    <w:p w:rsidR="005E00C5" w:rsidRDefault="005E00C5" w:rsidP="005E00C5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IV</w:t>
      </w:r>
      <w:r>
        <w:rPr>
          <w:b/>
          <w:bCs/>
          <w:sz w:val="26"/>
          <w:szCs w:val="26"/>
        </w:rPr>
        <w:t>. Направления оптимизации муниципального долга</w:t>
      </w:r>
    </w:p>
    <w:p w:rsidR="005E00C5" w:rsidRDefault="005E00C5" w:rsidP="005E00C5">
      <w:pPr>
        <w:ind w:firstLine="709"/>
        <w:jc w:val="center"/>
        <w:rPr>
          <w:b/>
          <w:bCs/>
          <w:sz w:val="26"/>
          <w:szCs w:val="26"/>
        </w:rPr>
      </w:pP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 w:rsidRPr="00F430CE">
        <w:rPr>
          <w:bCs/>
          <w:sz w:val="26"/>
          <w:szCs w:val="26"/>
        </w:rPr>
        <w:t>Политика управления муниципальным долгом</w:t>
      </w:r>
      <w:r>
        <w:rPr>
          <w:bCs/>
          <w:sz w:val="26"/>
          <w:szCs w:val="26"/>
        </w:rPr>
        <w:t xml:space="preserve"> городского округа в 2015 -        2017 годах будет продолжать строиться на принципах безусловного исполнения и обслуживания принятых долговых обязательств в полном объёме и в срок. 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Прогнозируемое поступление доходов городского бюджета на 2015 - 2017 годы не позволит сформировать бездефицитный бюджет. При этом основными источниками финансирования дефицита городского бюджета будут служить заёмные средства. При планируемых объёмах заимствований долговая нагрузка </w:t>
      </w:r>
      <w:r w:rsidR="00AA6364">
        <w:rPr>
          <w:bCs/>
          <w:sz w:val="26"/>
          <w:szCs w:val="26"/>
        </w:rPr>
        <w:t xml:space="preserve">               </w:t>
      </w:r>
      <w:r>
        <w:rPr>
          <w:bCs/>
          <w:sz w:val="26"/>
          <w:szCs w:val="26"/>
        </w:rPr>
        <w:t>на городской бюджет должна оставаться в пределах параметров, позволяющих надлежащим образом осуществлять финансирование бюджетных обязательств и качественное обслуживание муниципального долга.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сохранения экономически безопасных объёмов заимствований долговых обязательств и минимизации расходов на их обслуживание необходима реализация следующих направлений: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мониторинг потребности городского бюджета в финансировании обязательств  за счёт заёмных средств и объём</w:t>
      </w:r>
      <w:r w:rsidR="00CC67CE">
        <w:rPr>
          <w:bCs/>
          <w:sz w:val="26"/>
          <w:szCs w:val="26"/>
        </w:rPr>
        <w:t>ов</w:t>
      </w:r>
      <w:r>
        <w:rPr>
          <w:bCs/>
          <w:sz w:val="26"/>
          <w:szCs w:val="26"/>
        </w:rPr>
        <w:t xml:space="preserve"> их привлечения;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осуществление систематического отбора форм заимствований, максимально соответствующих потребностям городского бюджета и способствующих оптимизации стоимости заимствований;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привлечение бюджетных кредитов из окружного бюджета;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недопустимость образования пеней и штрафов в результате ненадлежащего исполнения обязанностей заёмщика. 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</w:p>
    <w:p w:rsidR="005E00C5" w:rsidRDefault="005E00C5" w:rsidP="005E00C5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Совершенствование контроля за целевым и эффективным</w:t>
      </w:r>
    </w:p>
    <w:p w:rsidR="005E00C5" w:rsidRDefault="005E00C5" w:rsidP="005E00C5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использованием бюджетных средств</w:t>
      </w:r>
    </w:p>
    <w:p w:rsidR="005E00C5" w:rsidRDefault="005E00C5" w:rsidP="005E00C5">
      <w:pPr>
        <w:ind w:firstLine="709"/>
        <w:jc w:val="center"/>
        <w:rPr>
          <w:b/>
          <w:bCs/>
          <w:sz w:val="26"/>
          <w:szCs w:val="26"/>
        </w:rPr>
      </w:pP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Бюджетная политика в области муниципального контроля на 2015 год и плановый период 2016 и 2017 годов будет направлена на дальнейшее развитие системы муниципального контроля, на повышение эффективности и качества контрольных мероприятий.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Контрольная работа должна быть направлена на достижение 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Особое внимание должно быть уделено контролю: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целевым и эффективным использованием бюджетных средств, в том числе за расходованием целевых средств федерального, окружного и областного бюджетов;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реализацией муниципальных программ, включая оценку эффективности их реализации;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выполнением муниципальных заданий на оказание муниципальных услуг (выполнение работ);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недопущением образования просроченной кредиторской задолженности;</w:t>
      </w:r>
    </w:p>
    <w:p w:rsidR="005E00C5" w:rsidRDefault="005E00C5" w:rsidP="005E00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полнотой и своевременностью предоставляемой отчётной информации и соответствием данных аналитического учёта данным бухгалтерского учёта.</w:t>
      </w:r>
    </w:p>
    <w:p w:rsidR="005E00C5" w:rsidRDefault="005E00C5" w:rsidP="005E00C5">
      <w:pPr>
        <w:ind w:firstLine="709"/>
      </w:pPr>
    </w:p>
    <w:sectPr w:rsidR="005E00C5" w:rsidSect="005E00C5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83" w:rsidRDefault="00173E83" w:rsidP="00693317">
      <w:r>
        <w:separator/>
      </w:r>
    </w:p>
  </w:endnote>
  <w:endnote w:type="continuationSeparator" w:id="0">
    <w:p w:rsidR="00173E83" w:rsidRDefault="00173E8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83" w:rsidRDefault="00173E83" w:rsidP="00693317">
      <w:r>
        <w:separator/>
      </w:r>
    </w:p>
  </w:footnote>
  <w:footnote w:type="continuationSeparator" w:id="0">
    <w:p w:rsidR="00173E83" w:rsidRDefault="00173E8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B7058F">
        <w:pPr>
          <w:pStyle w:val="a7"/>
          <w:jc w:val="center"/>
        </w:pPr>
        <w:fldSimple w:instr=" PAGE   \* MERGEFORMAT ">
          <w:r w:rsidR="00CC67CE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34DDC"/>
    <w:multiLevelType w:val="hybridMultilevel"/>
    <w:tmpl w:val="F0966E86"/>
    <w:lvl w:ilvl="0" w:tplc="10FE3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1"/>
  </w:num>
  <w:num w:numId="18">
    <w:abstractNumId w:val="30"/>
  </w:num>
  <w:num w:numId="19">
    <w:abstractNumId w:val="18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4"/>
  </w:num>
  <w:num w:numId="25">
    <w:abstractNumId w:val="4"/>
  </w:num>
  <w:num w:numId="26">
    <w:abstractNumId w:val="25"/>
  </w:num>
  <w:num w:numId="27">
    <w:abstractNumId w:val="19"/>
  </w:num>
  <w:num w:numId="28">
    <w:abstractNumId w:val="20"/>
  </w:num>
  <w:num w:numId="29">
    <w:abstractNumId w:val="33"/>
  </w:num>
  <w:num w:numId="30">
    <w:abstractNumId w:val="12"/>
  </w:num>
  <w:num w:numId="31">
    <w:abstractNumId w:val="17"/>
  </w:num>
  <w:num w:numId="32">
    <w:abstractNumId w:val="15"/>
  </w:num>
  <w:num w:numId="33">
    <w:abstractNumId w:val="24"/>
  </w:num>
  <w:num w:numId="34">
    <w:abstractNumId w:val="27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0C5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364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7CE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E00C5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E0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DB370-31EC-4AFC-AF99-88991927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2014-09-01T10:48:00Z</cp:lastPrinted>
  <dcterms:created xsi:type="dcterms:W3CDTF">2014-09-01T10:37:00Z</dcterms:created>
  <dcterms:modified xsi:type="dcterms:W3CDTF">2014-09-01T10:48:00Z</dcterms:modified>
</cp:coreProperties>
</file>